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72B9" w:rsidRDefault="00BD72B9">
      <w:pPr>
        <w:pBdr>
          <w:top w:val="nil"/>
          <w:left w:val="nil"/>
          <w:bottom w:val="nil"/>
          <w:right w:val="nil"/>
          <w:between w:val="nil"/>
        </w:pBdr>
        <w:tabs>
          <w:tab w:val="left" w:pos="8647"/>
          <w:tab w:val="left" w:pos="10205"/>
        </w:tabs>
        <w:spacing w:after="60"/>
        <w:ind w:left="4395"/>
        <w:jc w:val="right"/>
        <w:rPr>
          <w:rFonts w:ascii="Times New Roman" w:eastAsia="Times New Roman" w:hAnsi="Times New Roman" w:cs="Times New Roman"/>
          <w:color w:val="000000"/>
          <w:sz w:val="24"/>
          <w:szCs w:val="24"/>
        </w:rPr>
      </w:pPr>
    </w:p>
    <w:p w:rsidR="00BD72B9" w:rsidRDefault="001844F5">
      <w:pPr>
        <w:pBdr>
          <w:top w:val="nil"/>
          <w:left w:val="nil"/>
          <w:bottom w:val="nil"/>
          <w:right w:val="nil"/>
          <w:between w:val="nil"/>
        </w:pBdr>
        <w:tabs>
          <w:tab w:val="left" w:pos="10205"/>
        </w:tabs>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ПЕРЕЛІК</w:t>
      </w:r>
    </w:p>
    <w:p w:rsidR="00BD72B9" w:rsidRDefault="001844F5">
      <w:pPr>
        <w:pBdr>
          <w:top w:val="nil"/>
          <w:left w:val="nil"/>
          <w:bottom w:val="nil"/>
          <w:right w:val="nil"/>
          <w:between w:val="nil"/>
        </w:pBdr>
        <w:ind w:firstLine="709"/>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питань щодо проведення заходу державного нагляду (контролю)</w:t>
      </w:r>
    </w:p>
    <w:p w:rsidR="00BD72B9" w:rsidRDefault="001844F5">
      <w:pPr>
        <w:pBdr>
          <w:top w:val="nil"/>
          <w:left w:val="nil"/>
          <w:bottom w:val="nil"/>
          <w:right w:val="nil"/>
          <w:between w:val="nil"/>
        </w:pBdr>
        <w:ind w:firstLine="320"/>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щодо провадження освітньої діяльності у сфері вищої освіти </w:t>
      </w:r>
    </w:p>
    <w:p w:rsidR="00BD72B9" w:rsidRDefault="00BD72B9">
      <w:pPr>
        <w:pBdr>
          <w:top w:val="nil"/>
          <w:left w:val="nil"/>
          <w:bottom w:val="nil"/>
          <w:right w:val="nil"/>
          <w:between w:val="nil"/>
        </w:pBdr>
        <w:jc w:val="both"/>
        <w:rPr>
          <w:rFonts w:ascii="Times New Roman" w:eastAsia="Times New Roman" w:hAnsi="Times New Roman" w:cs="Times New Roman"/>
          <w:color w:val="000000"/>
          <w:sz w:val="8"/>
          <w:szCs w:val="8"/>
        </w:rPr>
      </w:pPr>
    </w:p>
    <w:tbl>
      <w:tblPr>
        <w:tblStyle w:val="a9"/>
        <w:tblW w:w="10915"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6"/>
        <w:gridCol w:w="2975"/>
        <w:gridCol w:w="1135"/>
        <w:gridCol w:w="1983"/>
        <w:gridCol w:w="567"/>
        <w:gridCol w:w="429"/>
        <w:gridCol w:w="56"/>
        <w:gridCol w:w="796"/>
        <w:gridCol w:w="2268"/>
      </w:tblGrid>
      <w:tr w:rsidR="00BD72B9">
        <w:trPr>
          <w:trHeight w:val="640"/>
        </w:trPr>
        <w:tc>
          <w:tcPr>
            <w:tcW w:w="706" w:type="dxa"/>
            <w:vMerge w:val="restart"/>
            <w:vAlign w:val="center"/>
          </w:tcPr>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w:t>
            </w:r>
          </w:p>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з/п</w:t>
            </w:r>
          </w:p>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2975" w:type="dxa"/>
            <w:vMerge w:val="restart"/>
            <w:vAlign w:val="center"/>
          </w:tcPr>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Питання щодо дотримання суб’єктом господарювання вимог законодавства</w:t>
            </w:r>
          </w:p>
        </w:tc>
        <w:tc>
          <w:tcPr>
            <w:tcW w:w="1135" w:type="dxa"/>
            <w:vMerge w:val="restart"/>
            <w:vAlign w:val="center"/>
          </w:tcPr>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Ступінь </w:t>
            </w:r>
          </w:p>
          <w:p w:rsidR="00BD72B9" w:rsidRDefault="001844F5">
            <w:pPr>
              <w:pBdr>
                <w:top w:val="nil"/>
                <w:left w:val="nil"/>
                <w:bottom w:val="nil"/>
                <w:right w:val="nil"/>
                <w:between w:val="nil"/>
              </w:pBdr>
              <w:ind w:left="-106" w:right="-110"/>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ризику суб’єкта господа-</w:t>
            </w:r>
            <w:proofErr w:type="spellStart"/>
            <w:r>
              <w:rPr>
                <w:rFonts w:ascii="Times New Roman" w:eastAsia="Times New Roman" w:hAnsi="Times New Roman" w:cs="Times New Roman"/>
                <w:color w:val="000000"/>
                <w:sz w:val="22"/>
                <w:szCs w:val="22"/>
              </w:rPr>
              <w:t>рювання</w:t>
            </w:r>
            <w:proofErr w:type="spellEnd"/>
            <w:r>
              <w:rPr>
                <w:rFonts w:ascii="Times New Roman" w:eastAsia="Times New Roman" w:hAnsi="Times New Roman" w:cs="Times New Roman"/>
                <w:color w:val="000000"/>
                <w:sz w:val="22"/>
                <w:szCs w:val="22"/>
              </w:rPr>
              <w:t>*</w:t>
            </w:r>
          </w:p>
        </w:tc>
        <w:tc>
          <w:tcPr>
            <w:tcW w:w="1983" w:type="dxa"/>
            <w:vMerge w:val="restart"/>
            <w:vAlign w:val="center"/>
          </w:tcPr>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Позиція суб’єкта господарювання щодо негативного впливу вимоги законодавства</w:t>
            </w:r>
          </w:p>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 (від 1 до 4 балів)**</w:t>
            </w:r>
          </w:p>
        </w:tc>
        <w:tc>
          <w:tcPr>
            <w:tcW w:w="1848" w:type="dxa"/>
            <w:gridSpan w:val="4"/>
            <w:vAlign w:val="center"/>
          </w:tcPr>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Відповіді на питання</w:t>
            </w:r>
          </w:p>
        </w:tc>
        <w:tc>
          <w:tcPr>
            <w:tcW w:w="2268" w:type="dxa"/>
            <w:vMerge w:val="restart"/>
            <w:vAlign w:val="center"/>
          </w:tcPr>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Нормативне обґрунтування</w:t>
            </w:r>
          </w:p>
        </w:tc>
      </w:tr>
      <w:tr w:rsidR="00BD72B9">
        <w:trPr>
          <w:trHeight w:val="315"/>
        </w:trPr>
        <w:tc>
          <w:tcPr>
            <w:tcW w:w="706" w:type="dxa"/>
            <w:vMerge/>
            <w:vAlign w:val="center"/>
          </w:tcPr>
          <w:p w:rsidR="00BD72B9" w:rsidRDefault="00BD72B9">
            <w:pPr>
              <w:widowControl w:val="0"/>
              <w:pBdr>
                <w:top w:val="nil"/>
                <w:left w:val="nil"/>
                <w:bottom w:val="nil"/>
                <w:right w:val="nil"/>
                <w:between w:val="nil"/>
              </w:pBdr>
              <w:spacing w:line="276" w:lineRule="auto"/>
              <w:rPr>
                <w:rFonts w:ascii="Times New Roman" w:eastAsia="Times New Roman" w:hAnsi="Times New Roman" w:cs="Times New Roman"/>
                <w:color w:val="000000"/>
                <w:sz w:val="22"/>
                <w:szCs w:val="22"/>
              </w:rPr>
            </w:pPr>
          </w:p>
        </w:tc>
        <w:tc>
          <w:tcPr>
            <w:tcW w:w="2975" w:type="dxa"/>
            <w:vMerge/>
            <w:vAlign w:val="center"/>
          </w:tcPr>
          <w:p w:rsidR="00BD72B9" w:rsidRDefault="00BD72B9">
            <w:pPr>
              <w:widowControl w:val="0"/>
              <w:pBdr>
                <w:top w:val="nil"/>
                <w:left w:val="nil"/>
                <w:bottom w:val="nil"/>
                <w:right w:val="nil"/>
                <w:between w:val="nil"/>
              </w:pBdr>
              <w:spacing w:line="276" w:lineRule="auto"/>
              <w:rPr>
                <w:rFonts w:ascii="Times New Roman" w:eastAsia="Times New Roman" w:hAnsi="Times New Roman" w:cs="Times New Roman"/>
                <w:color w:val="000000"/>
                <w:sz w:val="22"/>
                <w:szCs w:val="22"/>
              </w:rPr>
            </w:pPr>
          </w:p>
        </w:tc>
        <w:tc>
          <w:tcPr>
            <w:tcW w:w="1135" w:type="dxa"/>
            <w:vMerge/>
            <w:vAlign w:val="center"/>
          </w:tcPr>
          <w:p w:rsidR="00BD72B9" w:rsidRDefault="00BD72B9">
            <w:pPr>
              <w:widowControl w:val="0"/>
              <w:pBdr>
                <w:top w:val="nil"/>
                <w:left w:val="nil"/>
                <w:bottom w:val="nil"/>
                <w:right w:val="nil"/>
                <w:between w:val="nil"/>
              </w:pBdr>
              <w:spacing w:line="276" w:lineRule="auto"/>
              <w:rPr>
                <w:rFonts w:ascii="Times New Roman" w:eastAsia="Times New Roman" w:hAnsi="Times New Roman" w:cs="Times New Roman"/>
                <w:color w:val="000000"/>
                <w:sz w:val="22"/>
                <w:szCs w:val="22"/>
              </w:rPr>
            </w:pPr>
          </w:p>
        </w:tc>
        <w:tc>
          <w:tcPr>
            <w:tcW w:w="1983" w:type="dxa"/>
            <w:vMerge/>
            <w:vAlign w:val="center"/>
          </w:tcPr>
          <w:p w:rsidR="00BD72B9" w:rsidRDefault="00BD72B9">
            <w:pPr>
              <w:widowControl w:val="0"/>
              <w:pBdr>
                <w:top w:val="nil"/>
                <w:left w:val="nil"/>
                <w:bottom w:val="nil"/>
                <w:right w:val="nil"/>
                <w:between w:val="nil"/>
              </w:pBdr>
              <w:spacing w:line="276" w:lineRule="auto"/>
              <w:rPr>
                <w:rFonts w:ascii="Times New Roman" w:eastAsia="Times New Roman" w:hAnsi="Times New Roman" w:cs="Times New Roman"/>
                <w:color w:val="000000"/>
                <w:sz w:val="22"/>
                <w:szCs w:val="22"/>
              </w:rPr>
            </w:pPr>
          </w:p>
        </w:tc>
        <w:tc>
          <w:tcPr>
            <w:tcW w:w="567" w:type="dxa"/>
            <w:vAlign w:val="center"/>
          </w:tcPr>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так</w:t>
            </w:r>
          </w:p>
        </w:tc>
        <w:tc>
          <w:tcPr>
            <w:tcW w:w="429" w:type="dxa"/>
            <w:vAlign w:val="center"/>
          </w:tcPr>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ні</w:t>
            </w:r>
          </w:p>
        </w:tc>
        <w:tc>
          <w:tcPr>
            <w:tcW w:w="852" w:type="dxa"/>
            <w:gridSpan w:val="2"/>
            <w:tcMar>
              <w:left w:w="28" w:type="dxa"/>
              <w:right w:w="28" w:type="dxa"/>
            </w:tcMar>
            <w:vAlign w:val="center"/>
          </w:tcPr>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не </w:t>
            </w:r>
            <w:proofErr w:type="spellStart"/>
            <w:r>
              <w:rPr>
                <w:rFonts w:ascii="Times New Roman" w:eastAsia="Times New Roman" w:hAnsi="Times New Roman" w:cs="Times New Roman"/>
                <w:color w:val="000000"/>
                <w:sz w:val="22"/>
                <w:szCs w:val="22"/>
              </w:rPr>
              <w:t>розгля</w:t>
            </w:r>
            <w:proofErr w:type="spellEnd"/>
            <w:r>
              <w:rPr>
                <w:rFonts w:ascii="Times New Roman" w:eastAsia="Times New Roman" w:hAnsi="Times New Roman" w:cs="Times New Roman"/>
                <w:color w:val="000000"/>
                <w:sz w:val="22"/>
                <w:szCs w:val="22"/>
              </w:rPr>
              <w:t>-далося</w:t>
            </w:r>
          </w:p>
        </w:tc>
        <w:tc>
          <w:tcPr>
            <w:tcW w:w="2268" w:type="dxa"/>
            <w:vMerge/>
            <w:vAlign w:val="center"/>
          </w:tcPr>
          <w:p w:rsidR="00BD72B9" w:rsidRDefault="00BD72B9">
            <w:pPr>
              <w:widowControl w:val="0"/>
              <w:pBdr>
                <w:top w:val="nil"/>
                <w:left w:val="nil"/>
                <w:bottom w:val="nil"/>
                <w:right w:val="nil"/>
                <w:between w:val="nil"/>
              </w:pBdr>
              <w:spacing w:line="276" w:lineRule="auto"/>
              <w:rPr>
                <w:rFonts w:ascii="Times New Roman" w:eastAsia="Times New Roman" w:hAnsi="Times New Roman" w:cs="Times New Roman"/>
                <w:color w:val="000000"/>
                <w:sz w:val="22"/>
                <w:szCs w:val="22"/>
              </w:rPr>
            </w:pPr>
          </w:p>
        </w:tc>
      </w:tr>
      <w:tr w:rsidR="00BD72B9">
        <w:trPr>
          <w:trHeight w:val="560"/>
        </w:trPr>
        <w:tc>
          <w:tcPr>
            <w:tcW w:w="10915" w:type="dxa"/>
            <w:gridSpan w:val="9"/>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6"/>
                <w:szCs w:val="6"/>
              </w:rPr>
            </w:pPr>
          </w:p>
          <w:p w:rsidR="00BD72B9" w:rsidRDefault="001844F5">
            <w:pPr>
              <w:numPr>
                <w:ilvl w:val="0"/>
                <w:numId w:val="1"/>
              </w:numPr>
              <w:pBdr>
                <w:top w:val="nil"/>
                <w:left w:val="nil"/>
                <w:bottom w:val="nil"/>
                <w:right w:val="nil"/>
                <w:between w:val="nil"/>
              </w:pBdr>
              <w:jc w:val="center"/>
              <w:rPr>
                <w:rFonts w:ascii="Times New Roman" w:eastAsia="Times New Roman" w:hAnsi="Times New Roman" w:cs="Times New Roman"/>
                <w:b/>
                <w:i/>
                <w:color w:val="000000"/>
                <w:sz w:val="24"/>
                <w:szCs w:val="24"/>
              </w:rPr>
            </w:pPr>
            <w:bookmarkStart w:id="0" w:name="_heading=h.30j0zll" w:colFirst="0" w:colLast="0"/>
            <w:bookmarkEnd w:id="0"/>
            <w:r>
              <w:rPr>
                <w:rFonts w:ascii="Times New Roman" w:eastAsia="Times New Roman" w:hAnsi="Times New Roman" w:cs="Times New Roman"/>
                <w:b/>
                <w:i/>
                <w:color w:val="000000"/>
                <w:sz w:val="24"/>
                <w:szCs w:val="24"/>
              </w:rPr>
              <w:t>Загальні вимого щодо провадження освітньої діяльності сфері післядипломної освіти</w:t>
            </w:r>
          </w:p>
        </w:tc>
      </w:tr>
      <w:tr w:rsidR="00BD72B9">
        <w:trPr>
          <w:trHeight w:val="315"/>
        </w:trPr>
        <w:tc>
          <w:tcPr>
            <w:tcW w:w="706" w:type="dxa"/>
            <w:shd w:val="clear" w:color="auto" w:fill="auto"/>
          </w:tcPr>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w:t>
            </w:r>
          </w:p>
        </w:tc>
        <w:tc>
          <w:tcPr>
            <w:tcW w:w="2975" w:type="dxa"/>
            <w:shd w:val="clear" w:color="auto" w:fill="auto"/>
          </w:tcPr>
          <w:p w:rsidR="00BD72B9" w:rsidRDefault="001844F5">
            <w:pPr>
              <w:pBdr>
                <w:top w:val="nil"/>
                <w:left w:val="nil"/>
                <w:bottom w:val="nil"/>
                <w:right w:val="nil"/>
                <w:between w:val="nil"/>
              </w:pBdr>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Основним видом економічної діяльності ліцензіата є освітня діяльність. Для наукових установ основним видом діяльності може бути діяльність у сфері наукових досліджень та розробок. </w:t>
            </w:r>
          </w:p>
        </w:tc>
        <w:tc>
          <w:tcPr>
            <w:tcW w:w="1135" w:type="dxa"/>
            <w:shd w:val="clear" w:color="auto" w:fill="auto"/>
          </w:tcPr>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В </w:t>
            </w:r>
          </w:p>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С</w:t>
            </w:r>
          </w:p>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Н</w:t>
            </w:r>
          </w:p>
        </w:tc>
        <w:tc>
          <w:tcPr>
            <w:tcW w:w="1983" w:type="dxa"/>
            <w:shd w:val="clear" w:color="auto" w:fill="auto"/>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567" w:type="dxa"/>
            <w:shd w:val="clear" w:color="auto" w:fill="auto"/>
            <w:vAlign w:val="center"/>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429" w:type="dxa"/>
            <w:shd w:val="clear" w:color="auto" w:fill="auto"/>
            <w:vAlign w:val="center"/>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852" w:type="dxa"/>
            <w:gridSpan w:val="2"/>
            <w:shd w:val="clear" w:color="auto" w:fill="auto"/>
            <w:vAlign w:val="center"/>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2268" w:type="dxa"/>
            <w:shd w:val="clear" w:color="auto" w:fill="FFFFFF"/>
          </w:tcPr>
          <w:p w:rsidR="00BD72B9" w:rsidRDefault="001844F5">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Пункт 5 </w:t>
            </w:r>
          </w:p>
          <w:p w:rsidR="00BD72B9" w:rsidRDefault="001844F5">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Ліцензійних умов</w:t>
            </w:r>
          </w:p>
          <w:p w:rsidR="00BD72B9" w:rsidRDefault="00BD72B9">
            <w:pPr>
              <w:pBdr>
                <w:top w:val="nil"/>
                <w:left w:val="nil"/>
                <w:bottom w:val="nil"/>
                <w:right w:val="nil"/>
                <w:between w:val="nil"/>
              </w:pBdr>
              <w:rPr>
                <w:rFonts w:ascii="Times New Roman" w:eastAsia="Times New Roman" w:hAnsi="Times New Roman" w:cs="Times New Roman"/>
                <w:color w:val="000000"/>
                <w:sz w:val="22"/>
                <w:szCs w:val="22"/>
              </w:rPr>
            </w:pPr>
          </w:p>
        </w:tc>
      </w:tr>
      <w:tr w:rsidR="00BD72B9">
        <w:trPr>
          <w:trHeight w:val="315"/>
        </w:trPr>
        <w:tc>
          <w:tcPr>
            <w:tcW w:w="10915" w:type="dxa"/>
            <w:gridSpan w:val="9"/>
          </w:tcPr>
          <w:p w:rsidR="00BD72B9" w:rsidRDefault="001844F5">
            <w:pPr>
              <w:numPr>
                <w:ilvl w:val="0"/>
                <w:numId w:val="1"/>
              </w:num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b/>
                <w:i/>
                <w:color w:val="000000"/>
                <w:sz w:val="24"/>
                <w:szCs w:val="24"/>
              </w:rPr>
              <w:t>Організаційні вимоги щодо провадження освітньої діяльності</w:t>
            </w:r>
          </w:p>
        </w:tc>
      </w:tr>
      <w:tr w:rsidR="00BD72B9">
        <w:trPr>
          <w:trHeight w:val="315"/>
        </w:trPr>
        <w:tc>
          <w:tcPr>
            <w:tcW w:w="706" w:type="dxa"/>
          </w:tcPr>
          <w:p w:rsidR="00BD72B9" w:rsidRDefault="002A07C0">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2</w:t>
            </w:r>
          </w:p>
        </w:tc>
        <w:tc>
          <w:tcPr>
            <w:tcW w:w="2975" w:type="dxa"/>
          </w:tcPr>
          <w:p w:rsidR="00BD72B9" w:rsidRDefault="001844F5">
            <w:pPr>
              <w:pBdr>
                <w:top w:val="nil"/>
                <w:left w:val="nil"/>
                <w:bottom w:val="nil"/>
                <w:right w:val="nil"/>
                <w:between w:val="nil"/>
              </w:pBdr>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Ліцензіат забезпечив зберігання документів, а саме:</w:t>
            </w:r>
          </w:p>
        </w:tc>
        <w:tc>
          <w:tcPr>
            <w:tcW w:w="1135" w:type="dxa"/>
          </w:tcPr>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В </w:t>
            </w:r>
          </w:p>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С</w:t>
            </w:r>
          </w:p>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Н</w:t>
            </w:r>
          </w:p>
        </w:tc>
        <w:tc>
          <w:tcPr>
            <w:tcW w:w="1983" w:type="dxa"/>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567" w:type="dxa"/>
            <w:vAlign w:val="center"/>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429" w:type="dxa"/>
            <w:vAlign w:val="center"/>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852" w:type="dxa"/>
            <w:gridSpan w:val="2"/>
            <w:vAlign w:val="center"/>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2268" w:type="dxa"/>
          </w:tcPr>
          <w:p w:rsidR="00BD72B9" w:rsidRDefault="001844F5">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Пункт 16 Ліцензійних умов,</w:t>
            </w:r>
          </w:p>
          <w:p w:rsidR="00BD72B9" w:rsidRDefault="001844F5">
            <w:pPr>
              <w:rPr>
                <w:rFonts w:ascii="Times New Roman" w:eastAsia="Times New Roman" w:hAnsi="Times New Roman" w:cs="Times New Roman"/>
                <w:sz w:val="22"/>
                <w:szCs w:val="22"/>
              </w:rPr>
            </w:pPr>
            <w:r>
              <w:rPr>
                <w:rFonts w:ascii="Times New Roman" w:eastAsia="Times New Roman" w:hAnsi="Times New Roman" w:cs="Times New Roman"/>
                <w:sz w:val="22"/>
                <w:szCs w:val="22"/>
              </w:rPr>
              <w:t>стаття 57 Господарського кодексу України,</w:t>
            </w:r>
          </w:p>
          <w:p w:rsidR="00BD72B9" w:rsidRDefault="001844F5">
            <w:pPr>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абзац другий частини першої статті 14 Закону № 222 </w:t>
            </w:r>
          </w:p>
        </w:tc>
      </w:tr>
      <w:tr w:rsidR="00BD72B9">
        <w:trPr>
          <w:trHeight w:val="315"/>
        </w:trPr>
        <w:tc>
          <w:tcPr>
            <w:tcW w:w="706" w:type="dxa"/>
          </w:tcPr>
          <w:p w:rsidR="00BD72B9" w:rsidRDefault="002A07C0">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2.1</w:t>
            </w:r>
          </w:p>
        </w:tc>
        <w:tc>
          <w:tcPr>
            <w:tcW w:w="2975" w:type="dxa"/>
          </w:tcPr>
          <w:p w:rsidR="00BD72B9" w:rsidRDefault="001844F5">
            <w:pPr>
              <w:pBdr>
                <w:top w:val="nil"/>
                <w:left w:val="nil"/>
                <w:bottom w:val="nil"/>
                <w:right w:val="nil"/>
                <w:between w:val="nil"/>
              </w:pBdr>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копії яких подавалися до органу ліцензування</w:t>
            </w:r>
          </w:p>
          <w:p w:rsidR="00BD72B9" w:rsidRDefault="00BD72B9">
            <w:pPr>
              <w:pBdr>
                <w:top w:val="nil"/>
                <w:left w:val="nil"/>
                <w:bottom w:val="nil"/>
                <w:right w:val="nil"/>
                <w:between w:val="nil"/>
              </w:pBdr>
              <w:jc w:val="both"/>
              <w:rPr>
                <w:rFonts w:ascii="Times New Roman" w:eastAsia="Times New Roman" w:hAnsi="Times New Roman" w:cs="Times New Roman"/>
                <w:color w:val="000000"/>
                <w:sz w:val="22"/>
                <w:szCs w:val="22"/>
                <w:highlight w:val="white"/>
              </w:rPr>
            </w:pPr>
          </w:p>
        </w:tc>
        <w:tc>
          <w:tcPr>
            <w:tcW w:w="1135" w:type="dxa"/>
          </w:tcPr>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В </w:t>
            </w:r>
          </w:p>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С</w:t>
            </w:r>
          </w:p>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Н</w:t>
            </w:r>
          </w:p>
        </w:tc>
        <w:tc>
          <w:tcPr>
            <w:tcW w:w="1983" w:type="dxa"/>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567" w:type="dxa"/>
            <w:vAlign w:val="center"/>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429" w:type="dxa"/>
            <w:vAlign w:val="center"/>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852" w:type="dxa"/>
            <w:gridSpan w:val="2"/>
            <w:vAlign w:val="center"/>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2268" w:type="dxa"/>
          </w:tcPr>
          <w:p w:rsidR="00BD72B9" w:rsidRDefault="001844F5">
            <w:pPr>
              <w:pBdr>
                <w:top w:val="nil"/>
                <w:left w:val="nil"/>
                <w:bottom w:val="nil"/>
                <w:right w:val="nil"/>
                <w:between w:val="nil"/>
              </w:pBdr>
              <w:rPr>
                <w:rFonts w:ascii="Times New Roman" w:eastAsia="Times New Roman" w:hAnsi="Times New Roman" w:cs="Times New Roman"/>
                <w:sz w:val="22"/>
                <w:szCs w:val="22"/>
              </w:rPr>
            </w:pPr>
            <w:r>
              <w:rPr>
                <w:rFonts w:ascii="Times New Roman" w:eastAsia="Times New Roman" w:hAnsi="Times New Roman" w:cs="Times New Roman"/>
                <w:color w:val="000000"/>
                <w:sz w:val="22"/>
                <w:szCs w:val="22"/>
              </w:rPr>
              <w:t>Абзац перший пункту 16 Ліцензійних умов</w:t>
            </w:r>
          </w:p>
        </w:tc>
      </w:tr>
      <w:tr w:rsidR="00BD72B9">
        <w:trPr>
          <w:trHeight w:val="1653"/>
        </w:trPr>
        <w:tc>
          <w:tcPr>
            <w:tcW w:w="706" w:type="dxa"/>
          </w:tcPr>
          <w:p w:rsidR="00BD72B9" w:rsidRDefault="002A07C0">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2</w:t>
            </w:r>
            <w:r w:rsidR="001844F5">
              <w:rPr>
                <w:rFonts w:ascii="Times New Roman" w:eastAsia="Times New Roman" w:hAnsi="Times New Roman" w:cs="Times New Roman"/>
                <w:color w:val="000000"/>
                <w:sz w:val="22"/>
                <w:szCs w:val="22"/>
              </w:rPr>
              <w:t>.2</w:t>
            </w:r>
          </w:p>
        </w:tc>
        <w:tc>
          <w:tcPr>
            <w:tcW w:w="2975" w:type="dxa"/>
          </w:tcPr>
          <w:p w:rsidR="00BD72B9" w:rsidRDefault="001844F5">
            <w:pPr>
              <w:pBdr>
                <w:top w:val="nil"/>
                <w:left w:val="nil"/>
                <w:bottom w:val="nil"/>
                <w:right w:val="nil"/>
                <w:between w:val="nil"/>
              </w:pBdr>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документи які підтверджують достовірність даних, що зазначалися ліцензіатом у документах, які подавалися органу ліцензування</w:t>
            </w:r>
          </w:p>
        </w:tc>
        <w:tc>
          <w:tcPr>
            <w:tcW w:w="1135" w:type="dxa"/>
          </w:tcPr>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В </w:t>
            </w:r>
          </w:p>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С</w:t>
            </w:r>
          </w:p>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Н</w:t>
            </w:r>
          </w:p>
        </w:tc>
        <w:tc>
          <w:tcPr>
            <w:tcW w:w="1983" w:type="dxa"/>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567" w:type="dxa"/>
            <w:vAlign w:val="center"/>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429" w:type="dxa"/>
            <w:vAlign w:val="center"/>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852" w:type="dxa"/>
            <w:gridSpan w:val="2"/>
            <w:vAlign w:val="center"/>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2268" w:type="dxa"/>
          </w:tcPr>
          <w:p w:rsidR="00BD72B9" w:rsidRDefault="001844F5">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Абзац другий</w:t>
            </w:r>
          </w:p>
          <w:p w:rsidR="00BD72B9" w:rsidRDefault="001844F5">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пункту 16 Ліцензійних умов</w:t>
            </w:r>
          </w:p>
        </w:tc>
      </w:tr>
      <w:tr w:rsidR="00BD72B9">
        <w:trPr>
          <w:trHeight w:val="1044"/>
        </w:trPr>
        <w:tc>
          <w:tcPr>
            <w:tcW w:w="706" w:type="dxa"/>
          </w:tcPr>
          <w:p w:rsidR="00BD72B9" w:rsidRDefault="002A07C0">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2</w:t>
            </w:r>
            <w:r w:rsidR="001844F5">
              <w:rPr>
                <w:rFonts w:ascii="Times New Roman" w:eastAsia="Times New Roman" w:hAnsi="Times New Roman" w:cs="Times New Roman"/>
                <w:color w:val="000000"/>
                <w:sz w:val="22"/>
                <w:szCs w:val="22"/>
              </w:rPr>
              <w:t>.3</w:t>
            </w:r>
          </w:p>
        </w:tc>
        <w:tc>
          <w:tcPr>
            <w:tcW w:w="2975" w:type="dxa"/>
          </w:tcPr>
          <w:p w:rsidR="00BD72B9" w:rsidRDefault="001844F5">
            <w:pPr>
              <w:pBdr>
                <w:top w:val="nil"/>
                <w:left w:val="nil"/>
                <w:bottom w:val="nil"/>
                <w:right w:val="nil"/>
                <w:between w:val="nil"/>
              </w:pBdr>
              <w:jc w:val="both"/>
              <w:rPr>
                <w:rFonts w:ascii="Times New Roman" w:eastAsia="Times New Roman" w:hAnsi="Times New Roman" w:cs="Times New Roman"/>
                <w:color w:val="000000"/>
                <w:sz w:val="22"/>
                <w:szCs w:val="22"/>
                <w:highlight w:val="white"/>
              </w:rPr>
            </w:pPr>
            <w:r>
              <w:rPr>
                <w:rFonts w:ascii="Times New Roman" w:eastAsia="Times New Roman" w:hAnsi="Times New Roman" w:cs="Times New Roman"/>
                <w:color w:val="000000"/>
                <w:sz w:val="22"/>
                <w:szCs w:val="22"/>
              </w:rPr>
              <w:t>документи які підтверджують здійснення оплати за видачу ліцензії.</w:t>
            </w:r>
          </w:p>
        </w:tc>
        <w:tc>
          <w:tcPr>
            <w:tcW w:w="1135" w:type="dxa"/>
          </w:tcPr>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В </w:t>
            </w:r>
          </w:p>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С</w:t>
            </w:r>
          </w:p>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Н</w:t>
            </w:r>
          </w:p>
        </w:tc>
        <w:tc>
          <w:tcPr>
            <w:tcW w:w="1983" w:type="dxa"/>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567" w:type="dxa"/>
            <w:vAlign w:val="center"/>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429" w:type="dxa"/>
            <w:vAlign w:val="center"/>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852" w:type="dxa"/>
            <w:gridSpan w:val="2"/>
            <w:vAlign w:val="center"/>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2268" w:type="dxa"/>
          </w:tcPr>
          <w:p w:rsidR="00BD72B9" w:rsidRDefault="001844F5">
            <w:pPr>
              <w:pBdr>
                <w:top w:val="nil"/>
                <w:left w:val="nil"/>
                <w:bottom w:val="nil"/>
                <w:right w:val="nil"/>
                <w:between w:val="nil"/>
              </w:pBdr>
              <w:rPr>
                <w:rFonts w:ascii="Times New Roman" w:eastAsia="Times New Roman" w:hAnsi="Times New Roman" w:cs="Times New Roman"/>
                <w:color w:val="000000"/>
                <w:sz w:val="22"/>
                <w:szCs w:val="22"/>
                <w:highlight w:val="white"/>
              </w:rPr>
            </w:pPr>
            <w:r>
              <w:rPr>
                <w:rFonts w:ascii="Times New Roman" w:eastAsia="Times New Roman" w:hAnsi="Times New Roman" w:cs="Times New Roman"/>
                <w:color w:val="000000"/>
                <w:sz w:val="22"/>
                <w:szCs w:val="22"/>
                <w:highlight w:val="white"/>
              </w:rPr>
              <w:t>Абзац третій пункту 16 Ліцензійних умов</w:t>
            </w:r>
          </w:p>
          <w:p w:rsidR="00BD72B9" w:rsidRDefault="00BD72B9">
            <w:pPr>
              <w:pBdr>
                <w:top w:val="nil"/>
                <w:left w:val="nil"/>
                <w:bottom w:val="nil"/>
                <w:right w:val="nil"/>
                <w:between w:val="nil"/>
              </w:pBdr>
              <w:rPr>
                <w:rFonts w:ascii="Times New Roman" w:eastAsia="Times New Roman" w:hAnsi="Times New Roman" w:cs="Times New Roman"/>
                <w:color w:val="000000"/>
                <w:sz w:val="22"/>
                <w:szCs w:val="22"/>
              </w:rPr>
            </w:pPr>
          </w:p>
        </w:tc>
      </w:tr>
      <w:tr w:rsidR="00BD72B9">
        <w:trPr>
          <w:trHeight w:val="193"/>
        </w:trPr>
        <w:tc>
          <w:tcPr>
            <w:tcW w:w="706" w:type="dxa"/>
          </w:tcPr>
          <w:p w:rsidR="00BD72B9" w:rsidRDefault="002A07C0">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3</w:t>
            </w:r>
          </w:p>
        </w:tc>
        <w:tc>
          <w:tcPr>
            <w:tcW w:w="2975" w:type="dxa"/>
          </w:tcPr>
          <w:p w:rsidR="00BD72B9" w:rsidRDefault="001844F5">
            <w:pPr>
              <w:pBdr>
                <w:top w:val="nil"/>
                <w:left w:val="nil"/>
                <w:bottom w:val="nil"/>
                <w:right w:val="nil"/>
                <w:between w:val="nil"/>
              </w:pBdr>
              <w:jc w:val="both"/>
              <w:rPr>
                <w:rFonts w:ascii="Times New Roman" w:eastAsia="Times New Roman" w:hAnsi="Times New Roman" w:cs="Times New Roman"/>
                <w:color w:val="000000"/>
                <w:sz w:val="22"/>
                <w:szCs w:val="22"/>
                <w:highlight w:val="white"/>
              </w:rPr>
            </w:pPr>
            <w:r>
              <w:rPr>
                <w:rFonts w:ascii="Times New Roman" w:eastAsia="Times New Roman" w:hAnsi="Times New Roman" w:cs="Times New Roman"/>
                <w:color w:val="000000"/>
                <w:sz w:val="22"/>
                <w:szCs w:val="22"/>
              </w:rPr>
              <w:t xml:space="preserve">Ліцензіат забезпечив провадження освітньої діяльності виключно в місцях її провадження, зазначених у документах, поданих органу ліцензування, крім </w:t>
            </w:r>
            <w:r>
              <w:rPr>
                <w:rFonts w:ascii="Times New Roman" w:eastAsia="Times New Roman" w:hAnsi="Times New Roman" w:cs="Times New Roman"/>
                <w:color w:val="000000"/>
                <w:sz w:val="22"/>
                <w:szCs w:val="22"/>
              </w:rPr>
              <w:lastRenderedPageBreak/>
              <w:t xml:space="preserve">провадження освітньої діяльності за місцем проживання дитини на рівні дошкільної освіти та у сфері позашкільної освіти, провадження освітньої діяльності за місцем, наданим замовником для отримання короткострокових освітніх послуг у сфері позашкільної освіти (семінару, лекції, тренінгу, </w:t>
            </w:r>
            <w:proofErr w:type="spellStart"/>
            <w:r>
              <w:rPr>
                <w:rFonts w:ascii="Times New Roman" w:eastAsia="Times New Roman" w:hAnsi="Times New Roman" w:cs="Times New Roman"/>
                <w:color w:val="000000"/>
                <w:sz w:val="22"/>
                <w:szCs w:val="22"/>
              </w:rPr>
              <w:t>вебінару</w:t>
            </w:r>
            <w:proofErr w:type="spellEnd"/>
            <w:r>
              <w:rPr>
                <w:rFonts w:ascii="Times New Roman" w:eastAsia="Times New Roman" w:hAnsi="Times New Roman" w:cs="Times New Roman"/>
                <w:color w:val="000000"/>
                <w:sz w:val="22"/>
                <w:szCs w:val="22"/>
              </w:rPr>
              <w:t xml:space="preserve"> тощо), крім провадження освітньої діяльності з підвищення кваліфікації працівника за місцем його роботи у сфері післядипломної освіти.</w:t>
            </w:r>
          </w:p>
        </w:tc>
        <w:tc>
          <w:tcPr>
            <w:tcW w:w="1135" w:type="dxa"/>
          </w:tcPr>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lastRenderedPageBreak/>
              <w:t xml:space="preserve">В </w:t>
            </w:r>
          </w:p>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С</w:t>
            </w:r>
          </w:p>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Н</w:t>
            </w:r>
          </w:p>
        </w:tc>
        <w:tc>
          <w:tcPr>
            <w:tcW w:w="1983" w:type="dxa"/>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567" w:type="dxa"/>
            <w:vAlign w:val="center"/>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429" w:type="dxa"/>
            <w:vAlign w:val="center"/>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852" w:type="dxa"/>
            <w:gridSpan w:val="2"/>
            <w:vAlign w:val="center"/>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2268" w:type="dxa"/>
          </w:tcPr>
          <w:p w:rsidR="00BD72B9" w:rsidRDefault="001844F5">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Пункт 17</w:t>
            </w:r>
          </w:p>
          <w:p w:rsidR="00BD72B9" w:rsidRDefault="001844F5">
            <w:pPr>
              <w:pBdr>
                <w:top w:val="nil"/>
                <w:left w:val="nil"/>
                <w:bottom w:val="nil"/>
                <w:right w:val="nil"/>
                <w:between w:val="nil"/>
              </w:pBdr>
              <w:rPr>
                <w:rFonts w:ascii="Times New Roman" w:eastAsia="Times New Roman" w:hAnsi="Times New Roman" w:cs="Times New Roman"/>
                <w:color w:val="000000"/>
                <w:sz w:val="22"/>
                <w:szCs w:val="22"/>
                <w:highlight w:val="white"/>
              </w:rPr>
            </w:pPr>
            <w:r>
              <w:rPr>
                <w:rFonts w:ascii="Times New Roman" w:eastAsia="Times New Roman" w:hAnsi="Times New Roman" w:cs="Times New Roman"/>
                <w:color w:val="000000"/>
                <w:sz w:val="22"/>
                <w:szCs w:val="22"/>
                <w:highlight w:val="white"/>
              </w:rPr>
              <w:t xml:space="preserve">Ліцензійних умов, </w:t>
            </w:r>
          </w:p>
          <w:p w:rsidR="00BD72B9" w:rsidRDefault="001844F5">
            <w:pPr>
              <w:rPr>
                <w:rFonts w:ascii="Times New Roman" w:eastAsia="Times New Roman" w:hAnsi="Times New Roman" w:cs="Times New Roman"/>
                <w:sz w:val="22"/>
                <w:szCs w:val="22"/>
                <w:highlight w:val="white"/>
              </w:rPr>
            </w:pPr>
            <w:r>
              <w:rPr>
                <w:rFonts w:ascii="Times New Roman" w:eastAsia="Times New Roman" w:hAnsi="Times New Roman" w:cs="Times New Roman"/>
                <w:sz w:val="22"/>
                <w:szCs w:val="22"/>
              </w:rPr>
              <w:t>частина восьма статті 9 Закону № 222</w:t>
            </w:r>
          </w:p>
        </w:tc>
      </w:tr>
      <w:tr w:rsidR="00BD72B9">
        <w:trPr>
          <w:trHeight w:val="1306"/>
        </w:trPr>
        <w:tc>
          <w:tcPr>
            <w:tcW w:w="706" w:type="dxa"/>
            <w:tcBorders>
              <w:top w:val="single" w:sz="4" w:space="0" w:color="000000"/>
              <w:left w:val="single" w:sz="4" w:space="0" w:color="000000"/>
              <w:bottom w:val="single" w:sz="4" w:space="0" w:color="000000"/>
              <w:right w:val="single" w:sz="4" w:space="0" w:color="000000"/>
            </w:tcBorders>
          </w:tcPr>
          <w:p w:rsidR="00BD72B9" w:rsidRDefault="002A07C0">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lastRenderedPageBreak/>
              <w:t>4</w:t>
            </w:r>
          </w:p>
        </w:tc>
        <w:tc>
          <w:tcPr>
            <w:tcW w:w="2975" w:type="dxa"/>
            <w:tcBorders>
              <w:top w:val="single" w:sz="4" w:space="0" w:color="000000"/>
              <w:left w:val="single" w:sz="4" w:space="0" w:color="000000"/>
              <w:bottom w:val="single" w:sz="4" w:space="0" w:color="000000"/>
              <w:right w:val="single" w:sz="4" w:space="0" w:color="000000"/>
            </w:tcBorders>
          </w:tcPr>
          <w:p w:rsidR="00BD72B9" w:rsidRDefault="001844F5">
            <w:pPr>
              <w:pBdr>
                <w:top w:val="nil"/>
                <w:left w:val="nil"/>
                <w:bottom w:val="nil"/>
                <w:right w:val="nil"/>
                <w:between w:val="nil"/>
              </w:pBdr>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Ліцензіат забезпечив повідомлення органу ліцензування про зміну даних, зазначених у документах, що додавалися до заяви, протягом тридцяти календарних днів з дня настання таких змін.</w:t>
            </w:r>
          </w:p>
        </w:tc>
        <w:tc>
          <w:tcPr>
            <w:tcW w:w="1135" w:type="dxa"/>
            <w:tcBorders>
              <w:top w:val="single" w:sz="4" w:space="0" w:color="000000"/>
              <w:left w:val="single" w:sz="4" w:space="0" w:color="000000"/>
              <w:bottom w:val="single" w:sz="4" w:space="0" w:color="000000"/>
              <w:right w:val="single" w:sz="4" w:space="0" w:color="000000"/>
            </w:tcBorders>
          </w:tcPr>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В </w:t>
            </w:r>
          </w:p>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С</w:t>
            </w:r>
          </w:p>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Н</w:t>
            </w:r>
          </w:p>
        </w:tc>
        <w:tc>
          <w:tcPr>
            <w:tcW w:w="1983" w:type="dxa"/>
            <w:tcBorders>
              <w:top w:val="single" w:sz="4" w:space="0" w:color="000000"/>
              <w:left w:val="single" w:sz="4" w:space="0" w:color="000000"/>
              <w:bottom w:val="single" w:sz="4" w:space="0" w:color="000000"/>
              <w:right w:val="single" w:sz="4" w:space="0" w:color="000000"/>
            </w:tcBorders>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567" w:type="dxa"/>
            <w:tcBorders>
              <w:top w:val="single" w:sz="4" w:space="0" w:color="000000"/>
              <w:left w:val="single" w:sz="4" w:space="0" w:color="000000"/>
              <w:bottom w:val="single" w:sz="4" w:space="0" w:color="000000"/>
              <w:right w:val="single" w:sz="4" w:space="0" w:color="000000"/>
            </w:tcBorders>
            <w:vAlign w:val="center"/>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429" w:type="dxa"/>
            <w:tcBorders>
              <w:top w:val="single" w:sz="4" w:space="0" w:color="000000"/>
              <w:left w:val="single" w:sz="4" w:space="0" w:color="000000"/>
              <w:bottom w:val="single" w:sz="4" w:space="0" w:color="000000"/>
              <w:right w:val="single" w:sz="4" w:space="0" w:color="000000"/>
            </w:tcBorders>
            <w:vAlign w:val="center"/>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852" w:type="dxa"/>
            <w:gridSpan w:val="2"/>
            <w:tcBorders>
              <w:top w:val="single" w:sz="4" w:space="0" w:color="000000"/>
              <w:left w:val="single" w:sz="4" w:space="0" w:color="000000"/>
              <w:bottom w:val="single" w:sz="4" w:space="0" w:color="000000"/>
              <w:right w:val="single" w:sz="4" w:space="0" w:color="000000"/>
            </w:tcBorders>
            <w:vAlign w:val="center"/>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2268" w:type="dxa"/>
            <w:tcBorders>
              <w:top w:val="single" w:sz="4" w:space="0" w:color="000000"/>
              <w:left w:val="single" w:sz="4" w:space="0" w:color="000000"/>
              <w:bottom w:val="single" w:sz="4" w:space="0" w:color="000000"/>
              <w:right w:val="single" w:sz="4" w:space="0" w:color="000000"/>
            </w:tcBorders>
          </w:tcPr>
          <w:p w:rsidR="00BD72B9" w:rsidRDefault="001844F5">
            <w:pPr>
              <w:pBdr>
                <w:top w:val="nil"/>
                <w:left w:val="nil"/>
                <w:bottom w:val="nil"/>
                <w:right w:val="nil"/>
                <w:between w:val="nil"/>
              </w:pBdr>
              <w:rPr>
                <w:rFonts w:ascii="Times New Roman" w:eastAsia="Times New Roman" w:hAnsi="Times New Roman" w:cs="Times New Roman"/>
                <w:color w:val="000000"/>
                <w:sz w:val="22"/>
                <w:szCs w:val="22"/>
                <w:highlight w:val="white"/>
              </w:rPr>
            </w:pPr>
            <w:r>
              <w:rPr>
                <w:rFonts w:ascii="Times New Roman" w:eastAsia="Times New Roman" w:hAnsi="Times New Roman" w:cs="Times New Roman"/>
                <w:color w:val="000000"/>
                <w:sz w:val="22"/>
                <w:szCs w:val="22"/>
                <w:highlight w:val="white"/>
              </w:rPr>
              <w:t>Абзац перший</w:t>
            </w:r>
          </w:p>
          <w:p w:rsidR="00BD72B9" w:rsidRDefault="001844F5">
            <w:pPr>
              <w:pBdr>
                <w:top w:val="nil"/>
                <w:left w:val="nil"/>
                <w:bottom w:val="nil"/>
                <w:right w:val="nil"/>
                <w:between w:val="nil"/>
              </w:pBdr>
              <w:rPr>
                <w:rFonts w:ascii="Times New Roman" w:eastAsia="Times New Roman" w:hAnsi="Times New Roman" w:cs="Times New Roman"/>
                <w:color w:val="000000"/>
                <w:sz w:val="22"/>
                <w:szCs w:val="22"/>
                <w:highlight w:val="white"/>
              </w:rPr>
            </w:pPr>
            <w:r>
              <w:rPr>
                <w:rFonts w:ascii="Times New Roman" w:eastAsia="Times New Roman" w:hAnsi="Times New Roman" w:cs="Times New Roman"/>
                <w:color w:val="000000"/>
                <w:sz w:val="22"/>
                <w:szCs w:val="22"/>
                <w:highlight w:val="white"/>
              </w:rPr>
              <w:t>пункту 18</w:t>
            </w:r>
          </w:p>
          <w:p w:rsidR="00BD72B9" w:rsidRDefault="001844F5">
            <w:pPr>
              <w:pBdr>
                <w:top w:val="nil"/>
                <w:left w:val="nil"/>
                <w:bottom w:val="nil"/>
                <w:right w:val="nil"/>
                <w:between w:val="nil"/>
              </w:pBdr>
              <w:rPr>
                <w:rFonts w:ascii="Times New Roman" w:eastAsia="Times New Roman" w:hAnsi="Times New Roman" w:cs="Times New Roman"/>
                <w:sz w:val="22"/>
                <w:szCs w:val="22"/>
                <w:highlight w:val="white"/>
              </w:rPr>
            </w:pPr>
            <w:r>
              <w:rPr>
                <w:rFonts w:ascii="Times New Roman" w:eastAsia="Times New Roman" w:hAnsi="Times New Roman" w:cs="Times New Roman"/>
                <w:color w:val="000000"/>
                <w:sz w:val="22"/>
                <w:szCs w:val="22"/>
                <w:highlight w:val="white"/>
              </w:rPr>
              <w:t>Ліцензійних умов</w:t>
            </w:r>
            <w:r>
              <w:rPr>
                <w:rFonts w:ascii="Times New Roman" w:eastAsia="Times New Roman" w:hAnsi="Times New Roman" w:cs="Times New Roman"/>
                <w:sz w:val="22"/>
                <w:szCs w:val="22"/>
                <w:highlight w:val="white"/>
              </w:rPr>
              <w:t>,</w:t>
            </w:r>
          </w:p>
          <w:p w:rsidR="00BD72B9" w:rsidRDefault="001844F5">
            <w:pPr>
              <w:rPr>
                <w:rFonts w:ascii="Times New Roman" w:eastAsia="Times New Roman" w:hAnsi="Times New Roman" w:cs="Times New Roman"/>
                <w:sz w:val="22"/>
                <w:szCs w:val="22"/>
              </w:rPr>
            </w:pPr>
            <w:r>
              <w:rPr>
                <w:rFonts w:ascii="Times New Roman" w:eastAsia="Times New Roman" w:hAnsi="Times New Roman" w:cs="Times New Roman"/>
                <w:sz w:val="22"/>
                <w:szCs w:val="22"/>
              </w:rPr>
              <w:t>частина друга статті 15 Закону № 222</w:t>
            </w:r>
          </w:p>
          <w:p w:rsidR="00BD72B9" w:rsidRDefault="00BD72B9">
            <w:pPr>
              <w:pBdr>
                <w:top w:val="nil"/>
                <w:left w:val="nil"/>
                <w:bottom w:val="nil"/>
                <w:right w:val="nil"/>
                <w:between w:val="nil"/>
              </w:pBdr>
              <w:rPr>
                <w:rFonts w:ascii="Times New Roman" w:eastAsia="Times New Roman" w:hAnsi="Times New Roman" w:cs="Times New Roman"/>
                <w:sz w:val="22"/>
                <w:szCs w:val="22"/>
                <w:highlight w:val="white"/>
              </w:rPr>
            </w:pPr>
          </w:p>
        </w:tc>
      </w:tr>
      <w:tr w:rsidR="00BD72B9">
        <w:trPr>
          <w:trHeight w:val="315"/>
        </w:trPr>
        <w:tc>
          <w:tcPr>
            <w:tcW w:w="706" w:type="dxa"/>
          </w:tcPr>
          <w:p w:rsidR="00BD72B9" w:rsidRDefault="002A07C0">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4.</w:t>
            </w:r>
            <w:r w:rsidR="001844F5">
              <w:rPr>
                <w:rFonts w:ascii="Times New Roman" w:eastAsia="Times New Roman" w:hAnsi="Times New Roman" w:cs="Times New Roman"/>
                <w:color w:val="000000"/>
                <w:sz w:val="22"/>
                <w:szCs w:val="22"/>
              </w:rPr>
              <w:t>1</w:t>
            </w:r>
          </w:p>
        </w:tc>
        <w:tc>
          <w:tcPr>
            <w:tcW w:w="2975" w:type="dxa"/>
          </w:tcPr>
          <w:p w:rsidR="00BD72B9" w:rsidRDefault="001844F5">
            <w:pPr>
              <w:pBdr>
                <w:top w:val="nil"/>
                <w:left w:val="nil"/>
                <w:bottom w:val="nil"/>
                <w:right w:val="nil"/>
                <w:between w:val="nil"/>
              </w:pBdr>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Ліцензіат забезпечив внесення даних які стосуються зміни (нового) місця провадження освітньої діяльності.</w:t>
            </w:r>
          </w:p>
          <w:p w:rsidR="00BD72B9" w:rsidRDefault="001844F5">
            <w:pPr>
              <w:pBdr>
                <w:top w:val="nil"/>
                <w:left w:val="nil"/>
                <w:bottom w:val="nil"/>
                <w:right w:val="nil"/>
                <w:between w:val="nil"/>
              </w:pBdr>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Ліцензіат протягом семи робочих днів від дня настання таких змін подає органу ліцензування заяву про внесення змін до ліцензії на провадження освітньої діяльності у зв’язку із зміною місця провадження згідно з додатком 13 та копії документів, оформлених відповідно до вимог законодавства, що підтверджують право власності чи користування майном для провадження освітньої діяльності, та забезпечення безперешкодного доступу до будівель, приміщень закладу освіти осіб з інвалідністю та інших </w:t>
            </w:r>
            <w:proofErr w:type="spellStart"/>
            <w:r>
              <w:rPr>
                <w:rFonts w:ascii="Times New Roman" w:eastAsia="Times New Roman" w:hAnsi="Times New Roman" w:cs="Times New Roman"/>
                <w:color w:val="000000"/>
                <w:sz w:val="22"/>
                <w:szCs w:val="22"/>
              </w:rPr>
              <w:t>маломобільних</w:t>
            </w:r>
            <w:proofErr w:type="spellEnd"/>
            <w:r>
              <w:rPr>
                <w:rFonts w:ascii="Times New Roman" w:eastAsia="Times New Roman" w:hAnsi="Times New Roman" w:cs="Times New Roman"/>
                <w:color w:val="000000"/>
                <w:sz w:val="22"/>
                <w:szCs w:val="22"/>
              </w:rPr>
              <w:t xml:space="preserve"> груп населення.</w:t>
            </w:r>
          </w:p>
        </w:tc>
        <w:tc>
          <w:tcPr>
            <w:tcW w:w="1135" w:type="dxa"/>
          </w:tcPr>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В </w:t>
            </w:r>
          </w:p>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С</w:t>
            </w:r>
          </w:p>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Н</w:t>
            </w:r>
          </w:p>
        </w:tc>
        <w:tc>
          <w:tcPr>
            <w:tcW w:w="1983" w:type="dxa"/>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567" w:type="dxa"/>
            <w:vAlign w:val="center"/>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429" w:type="dxa"/>
            <w:vAlign w:val="center"/>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852" w:type="dxa"/>
            <w:gridSpan w:val="2"/>
            <w:vAlign w:val="center"/>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2268" w:type="dxa"/>
          </w:tcPr>
          <w:p w:rsidR="00BD72B9" w:rsidRDefault="001844F5">
            <w:pPr>
              <w:pBdr>
                <w:top w:val="nil"/>
                <w:left w:val="nil"/>
                <w:bottom w:val="nil"/>
                <w:right w:val="nil"/>
                <w:between w:val="nil"/>
              </w:pBdr>
              <w:rPr>
                <w:rFonts w:ascii="Times New Roman" w:eastAsia="Times New Roman" w:hAnsi="Times New Roman" w:cs="Times New Roman"/>
                <w:color w:val="000000"/>
                <w:sz w:val="22"/>
                <w:szCs w:val="22"/>
                <w:highlight w:val="white"/>
              </w:rPr>
            </w:pPr>
            <w:r>
              <w:rPr>
                <w:rFonts w:ascii="Times New Roman" w:eastAsia="Times New Roman" w:hAnsi="Times New Roman" w:cs="Times New Roman"/>
                <w:color w:val="000000"/>
                <w:sz w:val="22"/>
                <w:szCs w:val="22"/>
                <w:highlight w:val="white"/>
              </w:rPr>
              <w:t>Абзац другий</w:t>
            </w:r>
          </w:p>
          <w:p w:rsidR="00BD72B9" w:rsidRDefault="001844F5">
            <w:pPr>
              <w:pBdr>
                <w:top w:val="nil"/>
                <w:left w:val="nil"/>
                <w:bottom w:val="nil"/>
                <w:right w:val="nil"/>
                <w:between w:val="nil"/>
              </w:pBdr>
              <w:rPr>
                <w:rFonts w:ascii="Times New Roman" w:eastAsia="Times New Roman" w:hAnsi="Times New Roman" w:cs="Times New Roman"/>
                <w:color w:val="000000"/>
                <w:sz w:val="22"/>
                <w:szCs w:val="22"/>
                <w:highlight w:val="white"/>
              </w:rPr>
            </w:pPr>
            <w:r>
              <w:rPr>
                <w:rFonts w:ascii="Times New Roman" w:eastAsia="Times New Roman" w:hAnsi="Times New Roman" w:cs="Times New Roman"/>
                <w:color w:val="000000"/>
                <w:sz w:val="22"/>
                <w:szCs w:val="22"/>
                <w:highlight w:val="white"/>
              </w:rPr>
              <w:t>пункту 18</w:t>
            </w:r>
          </w:p>
          <w:p w:rsidR="00BD72B9" w:rsidRDefault="001844F5">
            <w:pPr>
              <w:pBdr>
                <w:top w:val="nil"/>
                <w:left w:val="nil"/>
                <w:bottom w:val="nil"/>
                <w:right w:val="nil"/>
                <w:between w:val="nil"/>
              </w:pBdr>
              <w:rPr>
                <w:rFonts w:ascii="Times New Roman" w:eastAsia="Times New Roman" w:hAnsi="Times New Roman" w:cs="Times New Roman"/>
                <w:color w:val="000000"/>
                <w:sz w:val="22"/>
                <w:szCs w:val="22"/>
                <w:highlight w:val="white"/>
              </w:rPr>
            </w:pPr>
            <w:r>
              <w:rPr>
                <w:rFonts w:ascii="Times New Roman" w:eastAsia="Times New Roman" w:hAnsi="Times New Roman" w:cs="Times New Roman"/>
                <w:color w:val="000000"/>
                <w:sz w:val="22"/>
                <w:szCs w:val="22"/>
                <w:highlight w:val="white"/>
              </w:rPr>
              <w:t>Ліцензійних умов</w:t>
            </w:r>
          </w:p>
        </w:tc>
      </w:tr>
      <w:tr w:rsidR="00BD72B9">
        <w:trPr>
          <w:trHeight w:val="802"/>
        </w:trPr>
        <w:tc>
          <w:tcPr>
            <w:tcW w:w="706" w:type="dxa"/>
          </w:tcPr>
          <w:p w:rsidR="00BD72B9" w:rsidRDefault="002A07C0">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w:t>
            </w:r>
          </w:p>
        </w:tc>
        <w:tc>
          <w:tcPr>
            <w:tcW w:w="2975" w:type="dxa"/>
          </w:tcPr>
          <w:p w:rsidR="00BD72B9" w:rsidRDefault="001844F5">
            <w:pPr>
              <w:pBdr>
                <w:top w:val="nil"/>
                <w:left w:val="nil"/>
                <w:bottom w:val="nil"/>
                <w:right w:val="nil"/>
                <w:between w:val="nil"/>
              </w:pBdr>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Ліцензіат забезпечив присутність керівника або іншої уповноваженої посадової особи під час </w:t>
            </w:r>
            <w:r>
              <w:rPr>
                <w:rFonts w:ascii="Times New Roman" w:eastAsia="Times New Roman" w:hAnsi="Times New Roman" w:cs="Times New Roman"/>
                <w:color w:val="000000"/>
                <w:sz w:val="22"/>
                <w:szCs w:val="22"/>
              </w:rPr>
              <w:lastRenderedPageBreak/>
              <w:t>проведення органом ліцензування перевірки дотримання ліцензіатом вимог цих Ліцензійних умов.</w:t>
            </w:r>
          </w:p>
        </w:tc>
        <w:tc>
          <w:tcPr>
            <w:tcW w:w="1135" w:type="dxa"/>
          </w:tcPr>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lastRenderedPageBreak/>
              <w:t xml:space="preserve">В </w:t>
            </w:r>
          </w:p>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С</w:t>
            </w:r>
          </w:p>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Н</w:t>
            </w:r>
          </w:p>
        </w:tc>
        <w:tc>
          <w:tcPr>
            <w:tcW w:w="1983" w:type="dxa"/>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567" w:type="dxa"/>
            <w:vAlign w:val="center"/>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429" w:type="dxa"/>
            <w:vAlign w:val="center"/>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852" w:type="dxa"/>
            <w:gridSpan w:val="2"/>
            <w:vAlign w:val="center"/>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2268" w:type="dxa"/>
          </w:tcPr>
          <w:p w:rsidR="00BD72B9" w:rsidRDefault="001844F5">
            <w:pPr>
              <w:pBdr>
                <w:top w:val="nil"/>
                <w:left w:val="nil"/>
                <w:bottom w:val="nil"/>
                <w:right w:val="nil"/>
                <w:between w:val="nil"/>
              </w:pBdr>
              <w:rPr>
                <w:rFonts w:ascii="Times New Roman" w:eastAsia="Times New Roman" w:hAnsi="Times New Roman" w:cs="Times New Roman"/>
                <w:color w:val="000000"/>
                <w:sz w:val="22"/>
                <w:szCs w:val="22"/>
                <w:highlight w:val="white"/>
              </w:rPr>
            </w:pPr>
            <w:r>
              <w:rPr>
                <w:rFonts w:ascii="Times New Roman" w:eastAsia="Times New Roman" w:hAnsi="Times New Roman" w:cs="Times New Roman"/>
                <w:color w:val="000000"/>
                <w:sz w:val="22"/>
                <w:szCs w:val="22"/>
                <w:highlight w:val="white"/>
              </w:rPr>
              <w:t>Пункт 19</w:t>
            </w:r>
          </w:p>
          <w:p w:rsidR="00BD72B9" w:rsidRDefault="001844F5">
            <w:pPr>
              <w:pBdr>
                <w:top w:val="nil"/>
                <w:left w:val="nil"/>
                <w:bottom w:val="nil"/>
                <w:right w:val="nil"/>
                <w:between w:val="nil"/>
              </w:pBdr>
              <w:rPr>
                <w:rFonts w:ascii="Times New Roman" w:eastAsia="Times New Roman" w:hAnsi="Times New Roman" w:cs="Times New Roman"/>
                <w:color w:val="000000"/>
                <w:sz w:val="22"/>
                <w:szCs w:val="22"/>
                <w:highlight w:val="white"/>
              </w:rPr>
            </w:pPr>
            <w:r>
              <w:rPr>
                <w:rFonts w:ascii="Times New Roman" w:eastAsia="Times New Roman" w:hAnsi="Times New Roman" w:cs="Times New Roman"/>
                <w:color w:val="000000"/>
                <w:sz w:val="22"/>
                <w:szCs w:val="22"/>
                <w:highlight w:val="white"/>
              </w:rPr>
              <w:t>Ліцензійних умов</w:t>
            </w:r>
          </w:p>
        </w:tc>
      </w:tr>
      <w:tr w:rsidR="00BD72B9">
        <w:trPr>
          <w:trHeight w:val="4428"/>
        </w:trPr>
        <w:tc>
          <w:tcPr>
            <w:tcW w:w="706" w:type="dxa"/>
          </w:tcPr>
          <w:p w:rsidR="00BD72B9" w:rsidRDefault="002A07C0">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lastRenderedPageBreak/>
              <w:t>5.1</w:t>
            </w:r>
          </w:p>
        </w:tc>
        <w:tc>
          <w:tcPr>
            <w:tcW w:w="2975" w:type="dxa"/>
          </w:tcPr>
          <w:p w:rsidR="00BD72B9" w:rsidRDefault="001844F5">
            <w:pPr>
              <w:pBdr>
                <w:top w:val="nil"/>
                <w:left w:val="nil"/>
                <w:bottom w:val="nil"/>
                <w:right w:val="nil"/>
                <w:between w:val="nil"/>
              </w:pBdr>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Ліцензіат розробив та протягом місяця з моменту початку провадження освітньої діяльності подав органу ліцензування порядок дій у разі позапланового припинення провадження ним освітньої діяльності загалом, за певним рівнем освіти або у певній сфері освіти, або за певними місцями її провадження (у зв’язку з неможливістю використання матеріально-технічної бази, виникненням форс-мажорних обставин тощо) та порядок відновлення провадження такої діяльності.</w:t>
            </w:r>
          </w:p>
        </w:tc>
        <w:tc>
          <w:tcPr>
            <w:tcW w:w="1135" w:type="dxa"/>
          </w:tcPr>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В </w:t>
            </w:r>
          </w:p>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С</w:t>
            </w:r>
          </w:p>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Н</w:t>
            </w:r>
          </w:p>
        </w:tc>
        <w:tc>
          <w:tcPr>
            <w:tcW w:w="1983" w:type="dxa"/>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567" w:type="dxa"/>
            <w:vAlign w:val="center"/>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429" w:type="dxa"/>
            <w:vAlign w:val="center"/>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852" w:type="dxa"/>
            <w:gridSpan w:val="2"/>
            <w:vAlign w:val="center"/>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2268" w:type="dxa"/>
          </w:tcPr>
          <w:p w:rsidR="00BD72B9" w:rsidRDefault="001844F5">
            <w:pPr>
              <w:pBdr>
                <w:top w:val="nil"/>
                <w:left w:val="nil"/>
                <w:bottom w:val="nil"/>
                <w:right w:val="nil"/>
                <w:between w:val="nil"/>
              </w:pBdr>
              <w:rPr>
                <w:rFonts w:ascii="Times New Roman" w:eastAsia="Times New Roman" w:hAnsi="Times New Roman" w:cs="Times New Roman"/>
                <w:color w:val="000000"/>
                <w:sz w:val="22"/>
                <w:szCs w:val="22"/>
                <w:highlight w:val="white"/>
              </w:rPr>
            </w:pPr>
            <w:r>
              <w:rPr>
                <w:rFonts w:ascii="Times New Roman" w:eastAsia="Times New Roman" w:hAnsi="Times New Roman" w:cs="Times New Roman"/>
                <w:color w:val="000000"/>
                <w:sz w:val="22"/>
                <w:szCs w:val="22"/>
                <w:highlight w:val="white"/>
              </w:rPr>
              <w:t>Пункт 20</w:t>
            </w:r>
          </w:p>
          <w:p w:rsidR="00BD72B9" w:rsidRDefault="001844F5">
            <w:pPr>
              <w:pBdr>
                <w:top w:val="nil"/>
                <w:left w:val="nil"/>
                <w:bottom w:val="nil"/>
                <w:right w:val="nil"/>
                <w:between w:val="nil"/>
              </w:pBdr>
              <w:rPr>
                <w:rFonts w:ascii="Times New Roman" w:eastAsia="Times New Roman" w:hAnsi="Times New Roman" w:cs="Times New Roman"/>
                <w:color w:val="000000"/>
                <w:sz w:val="22"/>
                <w:szCs w:val="22"/>
                <w:highlight w:val="white"/>
              </w:rPr>
            </w:pPr>
            <w:r>
              <w:rPr>
                <w:rFonts w:ascii="Times New Roman" w:eastAsia="Times New Roman" w:hAnsi="Times New Roman" w:cs="Times New Roman"/>
                <w:color w:val="000000"/>
                <w:sz w:val="22"/>
                <w:szCs w:val="22"/>
                <w:highlight w:val="white"/>
              </w:rPr>
              <w:t>Ліцензійних умов</w:t>
            </w:r>
          </w:p>
        </w:tc>
      </w:tr>
      <w:tr w:rsidR="00BD72B9">
        <w:trPr>
          <w:trHeight w:val="315"/>
        </w:trPr>
        <w:tc>
          <w:tcPr>
            <w:tcW w:w="706" w:type="dxa"/>
          </w:tcPr>
          <w:p w:rsidR="00BD72B9" w:rsidRDefault="002A07C0">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5.2</w:t>
            </w:r>
          </w:p>
        </w:tc>
        <w:tc>
          <w:tcPr>
            <w:tcW w:w="2975" w:type="dxa"/>
          </w:tcPr>
          <w:p w:rsidR="00BD72B9" w:rsidRDefault="001844F5">
            <w:pPr>
              <w:pBdr>
                <w:top w:val="nil"/>
                <w:left w:val="nil"/>
                <w:bottom w:val="nil"/>
                <w:right w:val="nil"/>
                <w:between w:val="nil"/>
              </w:pBdr>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Ліцензіат, що провадить освітню діяльність, повідомив орган ліцензування про планове або позапланове припинення провадження освітньої діяльності загалом, за певним рівнем освіти або у певній сфері освіти, або за певними місцями її провадження протягом п’яти робочих днів з моменту прийняття відповідного рішення, а також про заходи, що вживатимуться ним для забезпечення продовження навчання здобувачів освіти.</w:t>
            </w:r>
          </w:p>
        </w:tc>
        <w:tc>
          <w:tcPr>
            <w:tcW w:w="1135" w:type="dxa"/>
          </w:tcPr>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В </w:t>
            </w:r>
          </w:p>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С</w:t>
            </w:r>
          </w:p>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Н</w:t>
            </w:r>
          </w:p>
        </w:tc>
        <w:tc>
          <w:tcPr>
            <w:tcW w:w="1983" w:type="dxa"/>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567" w:type="dxa"/>
            <w:vAlign w:val="center"/>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429" w:type="dxa"/>
            <w:vAlign w:val="center"/>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852" w:type="dxa"/>
            <w:gridSpan w:val="2"/>
            <w:vAlign w:val="center"/>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2268" w:type="dxa"/>
          </w:tcPr>
          <w:p w:rsidR="00BD72B9" w:rsidRDefault="001844F5">
            <w:pPr>
              <w:pBdr>
                <w:top w:val="nil"/>
                <w:left w:val="nil"/>
                <w:bottom w:val="nil"/>
                <w:right w:val="nil"/>
                <w:between w:val="nil"/>
              </w:pBdr>
              <w:rPr>
                <w:rFonts w:ascii="Times New Roman" w:eastAsia="Times New Roman" w:hAnsi="Times New Roman" w:cs="Times New Roman"/>
                <w:color w:val="000000"/>
                <w:sz w:val="22"/>
                <w:szCs w:val="22"/>
                <w:highlight w:val="white"/>
              </w:rPr>
            </w:pPr>
            <w:r>
              <w:rPr>
                <w:rFonts w:ascii="Times New Roman" w:eastAsia="Times New Roman" w:hAnsi="Times New Roman" w:cs="Times New Roman"/>
                <w:color w:val="000000"/>
                <w:sz w:val="22"/>
                <w:szCs w:val="22"/>
                <w:highlight w:val="white"/>
              </w:rPr>
              <w:t>Пункт 21</w:t>
            </w:r>
          </w:p>
          <w:p w:rsidR="00BD72B9" w:rsidRDefault="001844F5">
            <w:pPr>
              <w:pBdr>
                <w:top w:val="nil"/>
                <w:left w:val="nil"/>
                <w:bottom w:val="nil"/>
                <w:right w:val="nil"/>
                <w:between w:val="nil"/>
              </w:pBdr>
              <w:rPr>
                <w:rFonts w:ascii="Times New Roman" w:eastAsia="Times New Roman" w:hAnsi="Times New Roman" w:cs="Times New Roman"/>
                <w:color w:val="000000"/>
                <w:sz w:val="22"/>
                <w:szCs w:val="22"/>
                <w:highlight w:val="white"/>
              </w:rPr>
            </w:pPr>
            <w:r>
              <w:rPr>
                <w:rFonts w:ascii="Times New Roman" w:eastAsia="Times New Roman" w:hAnsi="Times New Roman" w:cs="Times New Roman"/>
                <w:color w:val="000000"/>
                <w:sz w:val="22"/>
                <w:szCs w:val="22"/>
                <w:highlight w:val="white"/>
              </w:rPr>
              <w:t>Ліцензійних умов</w:t>
            </w:r>
          </w:p>
        </w:tc>
      </w:tr>
      <w:tr w:rsidR="00BD72B9">
        <w:trPr>
          <w:trHeight w:val="2829"/>
        </w:trPr>
        <w:tc>
          <w:tcPr>
            <w:tcW w:w="706" w:type="dxa"/>
          </w:tcPr>
          <w:p w:rsidR="00BD72B9" w:rsidRDefault="002A07C0">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6</w:t>
            </w:r>
          </w:p>
        </w:tc>
        <w:tc>
          <w:tcPr>
            <w:tcW w:w="2975" w:type="dxa"/>
          </w:tcPr>
          <w:p w:rsidR="00BD72B9" w:rsidRDefault="001844F5">
            <w:pPr>
              <w:pBdr>
                <w:top w:val="nil"/>
                <w:left w:val="nil"/>
                <w:bottom w:val="nil"/>
                <w:right w:val="nil"/>
                <w:between w:val="nil"/>
              </w:pBdr>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Ліцензіат відповідає вимогам Ліцензійних умов щодо започаткування провадження освітньої діяльності на відповідному рівні освіти або у сфері освіти, а ліцензіат зобов’язаний виконувати вимоги Ліцензійних умов щодо започаткування та провадження освітньої діяльності на певному (певних) рівні (рівнях) або у сфері (сферах) освіти в кожному місці провадження освітньої діяльності.</w:t>
            </w:r>
          </w:p>
        </w:tc>
        <w:tc>
          <w:tcPr>
            <w:tcW w:w="1135" w:type="dxa"/>
          </w:tcPr>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В </w:t>
            </w:r>
          </w:p>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С</w:t>
            </w:r>
          </w:p>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Н </w:t>
            </w:r>
          </w:p>
        </w:tc>
        <w:tc>
          <w:tcPr>
            <w:tcW w:w="1983" w:type="dxa"/>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567" w:type="dxa"/>
            <w:vAlign w:val="center"/>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429" w:type="dxa"/>
            <w:vAlign w:val="center"/>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852" w:type="dxa"/>
            <w:gridSpan w:val="2"/>
            <w:vAlign w:val="center"/>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2268" w:type="dxa"/>
          </w:tcPr>
          <w:p w:rsidR="00BD72B9" w:rsidRDefault="001844F5">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Пункт 22</w:t>
            </w:r>
          </w:p>
          <w:p w:rsidR="00BD72B9" w:rsidRDefault="001844F5">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highlight w:val="white"/>
              </w:rPr>
              <w:t>Ліцензійних умов</w:t>
            </w:r>
          </w:p>
        </w:tc>
      </w:tr>
      <w:tr w:rsidR="00BD72B9">
        <w:trPr>
          <w:trHeight w:val="1593"/>
        </w:trPr>
        <w:tc>
          <w:tcPr>
            <w:tcW w:w="706" w:type="dxa"/>
          </w:tcPr>
          <w:p w:rsidR="00BD72B9" w:rsidRDefault="002A07C0">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lastRenderedPageBreak/>
              <w:t>7</w:t>
            </w:r>
          </w:p>
        </w:tc>
        <w:tc>
          <w:tcPr>
            <w:tcW w:w="2975" w:type="dxa"/>
          </w:tcPr>
          <w:p w:rsidR="00BD72B9" w:rsidRDefault="001844F5">
            <w:pPr>
              <w:pBdr>
                <w:top w:val="nil"/>
                <w:left w:val="nil"/>
                <w:bottom w:val="nil"/>
                <w:right w:val="nil"/>
                <w:between w:val="nil"/>
              </w:pBdr>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Всі особи, залучені здобувачем ліцензії (ліцензіатом) до провадження освітньої діяльності, діють за відповідними трудовими договорами (угодами).</w:t>
            </w:r>
          </w:p>
        </w:tc>
        <w:tc>
          <w:tcPr>
            <w:tcW w:w="1135" w:type="dxa"/>
          </w:tcPr>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В </w:t>
            </w:r>
          </w:p>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С</w:t>
            </w:r>
          </w:p>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Н</w:t>
            </w:r>
          </w:p>
        </w:tc>
        <w:tc>
          <w:tcPr>
            <w:tcW w:w="1983" w:type="dxa"/>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567" w:type="dxa"/>
            <w:vAlign w:val="center"/>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429" w:type="dxa"/>
            <w:vAlign w:val="center"/>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852" w:type="dxa"/>
            <w:gridSpan w:val="2"/>
            <w:vAlign w:val="center"/>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2268" w:type="dxa"/>
          </w:tcPr>
          <w:p w:rsidR="00BD72B9" w:rsidRDefault="001844F5">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Абзац перший</w:t>
            </w:r>
          </w:p>
          <w:p w:rsidR="00BD72B9" w:rsidRDefault="001844F5">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пункту 23</w:t>
            </w:r>
          </w:p>
          <w:p w:rsidR="00BD72B9" w:rsidRDefault="001844F5">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highlight w:val="white"/>
              </w:rPr>
              <w:t>Ліцензійних умов</w:t>
            </w:r>
          </w:p>
        </w:tc>
      </w:tr>
      <w:tr w:rsidR="00BD72B9">
        <w:trPr>
          <w:trHeight w:val="1593"/>
        </w:trPr>
        <w:tc>
          <w:tcPr>
            <w:tcW w:w="706" w:type="dxa"/>
          </w:tcPr>
          <w:p w:rsidR="00BD72B9" w:rsidRDefault="002A07C0">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7.1</w:t>
            </w:r>
          </w:p>
        </w:tc>
        <w:tc>
          <w:tcPr>
            <w:tcW w:w="2975" w:type="dxa"/>
          </w:tcPr>
          <w:p w:rsidR="00BD72B9" w:rsidRDefault="001844F5">
            <w:pPr>
              <w:pBdr>
                <w:top w:val="nil"/>
                <w:left w:val="nil"/>
                <w:bottom w:val="nil"/>
                <w:right w:val="nil"/>
                <w:between w:val="nil"/>
              </w:pBdr>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Ліцензіат забезпечив наявність трудових договорів (контрактів) у письмовій формі з усіма керівниками, педагогічними, науково-педагогічними та науковими працівниками. Здобувач ліцензії забезпечує наявність трудового договору (контракту) з керівником закладу освіти або з особою, що виконує обов’язки керівника закладу освіти (керівником або з особою, що виконує обов’язки керівника відокремленого структурного підрозділу, що провадить освітню діяльність, іншої юридичної особи; особою, найнятою (за потреби) фізичною особою - підприємцем для виконання обов’язків керівника) (крім професійного (професійно-технічного) навчання на виробництві).</w:t>
            </w:r>
          </w:p>
        </w:tc>
        <w:tc>
          <w:tcPr>
            <w:tcW w:w="1135" w:type="dxa"/>
          </w:tcPr>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В </w:t>
            </w:r>
          </w:p>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С</w:t>
            </w:r>
          </w:p>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Н</w:t>
            </w:r>
          </w:p>
        </w:tc>
        <w:tc>
          <w:tcPr>
            <w:tcW w:w="1983" w:type="dxa"/>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567" w:type="dxa"/>
            <w:vAlign w:val="center"/>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429" w:type="dxa"/>
            <w:vAlign w:val="center"/>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852" w:type="dxa"/>
            <w:gridSpan w:val="2"/>
            <w:vAlign w:val="center"/>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2268" w:type="dxa"/>
          </w:tcPr>
          <w:p w:rsidR="00BD72B9" w:rsidRDefault="001844F5">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Абзац другий</w:t>
            </w:r>
          </w:p>
          <w:p w:rsidR="00BD72B9" w:rsidRDefault="001844F5">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пункту 23</w:t>
            </w:r>
          </w:p>
          <w:p w:rsidR="00BD72B9" w:rsidRDefault="001844F5">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highlight w:val="white"/>
              </w:rPr>
              <w:t>Ліцензійних умов</w:t>
            </w:r>
          </w:p>
        </w:tc>
      </w:tr>
      <w:tr w:rsidR="00BD72B9">
        <w:trPr>
          <w:trHeight w:val="1593"/>
        </w:trPr>
        <w:tc>
          <w:tcPr>
            <w:tcW w:w="706" w:type="dxa"/>
          </w:tcPr>
          <w:p w:rsidR="00BD72B9" w:rsidRDefault="002A07C0">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7.2</w:t>
            </w:r>
          </w:p>
        </w:tc>
        <w:tc>
          <w:tcPr>
            <w:tcW w:w="2975" w:type="dxa"/>
          </w:tcPr>
          <w:p w:rsidR="00BD72B9" w:rsidRDefault="001844F5">
            <w:pPr>
              <w:pBdr>
                <w:top w:val="nil"/>
                <w:left w:val="nil"/>
                <w:bottom w:val="nil"/>
                <w:right w:val="nil"/>
                <w:between w:val="nil"/>
              </w:pBdr>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Трудові договори (контракти) науково-педагогічних працівників закладів вищої освіти та наукових установ за основним місцем роботи укладені лише за результатами конкурсного відбору.</w:t>
            </w:r>
          </w:p>
        </w:tc>
        <w:tc>
          <w:tcPr>
            <w:tcW w:w="1135" w:type="dxa"/>
          </w:tcPr>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В </w:t>
            </w:r>
          </w:p>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С</w:t>
            </w:r>
          </w:p>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Н</w:t>
            </w:r>
          </w:p>
        </w:tc>
        <w:tc>
          <w:tcPr>
            <w:tcW w:w="1983" w:type="dxa"/>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567" w:type="dxa"/>
            <w:vAlign w:val="center"/>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429" w:type="dxa"/>
            <w:vAlign w:val="center"/>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852" w:type="dxa"/>
            <w:gridSpan w:val="2"/>
            <w:vAlign w:val="center"/>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2268" w:type="dxa"/>
          </w:tcPr>
          <w:p w:rsidR="00BD72B9" w:rsidRDefault="001844F5">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Абзац третій</w:t>
            </w:r>
          </w:p>
          <w:p w:rsidR="00BD72B9" w:rsidRDefault="001844F5">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пункту 23</w:t>
            </w:r>
          </w:p>
          <w:p w:rsidR="00BD72B9" w:rsidRDefault="001844F5">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highlight w:val="white"/>
              </w:rPr>
              <w:t>Ліцензійних умов</w:t>
            </w:r>
          </w:p>
        </w:tc>
      </w:tr>
      <w:tr w:rsidR="00BD72B9">
        <w:trPr>
          <w:trHeight w:val="1593"/>
        </w:trPr>
        <w:tc>
          <w:tcPr>
            <w:tcW w:w="706" w:type="dxa"/>
          </w:tcPr>
          <w:p w:rsidR="00BD72B9" w:rsidRDefault="002A07C0">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7.3</w:t>
            </w:r>
          </w:p>
        </w:tc>
        <w:tc>
          <w:tcPr>
            <w:tcW w:w="2975" w:type="dxa"/>
          </w:tcPr>
          <w:p w:rsidR="00BD72B9" w:rsidRPr="00065167" w:rsidRDefault="001844F5">
            <w:pPr>
              <w:pBdr>
                <w:top w:val="nil"/>
                <w:left w:val="nil"/>
                <w:bottom w:val="nil"/>
                <w:right w:val="nil"/>
                <w:between w:val="nil"/>
              </w:pBdr>
              <w:jc w:val="both"/>
              <w:rPr>
                <w:rFonts w:ascii="Times New Roman" w:eastAsia="Times New Roman" w:hAnsi="Times New Roman" w:cs="Times New Roman"/>
                <w:color w:val="000000"/>
                <w:sz w:val="22"/>
                <w:szCs w:val="22"/>
              </w:rPr>
            </w:pPr>
            <w:r w:rsidRPr="00065167">
              <w:rPr>
                <w:rFonts w:ascii="Times New Roman" w:eastAsia="Times New Roman" w:hAnsi="Times New Roman" w:cs="Times New Roman"/>
                <w:color w:val="000000"/>
                <w:sz w:val="22"/>
                <w:szCs w:val="22"/>
              </w:rPr>
              <w:t xml:space="preserve">У разі заміщення посад науково-педагогічних працівників, які підвищують кваліфікацію або проходять стажування з відривом від виробництва, реалізують право на академічну мобільність для провадження професійної діяльності відповідно до укладеного договору про участь у програмі академічної мобільності, проходять військову службу за призовом та/або під час </w:t>
            </w:r>
            <w:r w:rsidRPr="00065167">
              <w:rPr>
                <w:rFonts w:ascii="Times New Roman" w:eastAsia="Times New Roman" w:hAnsi="Times New Roman" w:cs="Times New Roman"/>
                <w:color w:val="000000"/>
                <w:sz w:val="22"/>
                <w:szCs w:val="22"/>
              </w:rPr>
              <w:lastRenderedPageBreak/>
              <w:t>мобілізації, або перебувають у соціальній відпустці, та у разі неможливості забезпечення освітнього процесу наявними штатними працівниками, вакантні посади науково-педагогічних працівників можуть заміщуватися за трудовим договором до проведення конкурсного заміщення цих посад у поточному навчальному році.</w:t>
            </w:r>
          </w:p>
        </w:tc>
        <w:tc>
          <w:tcPr>
            <w:tcW w:w="1135" w:type="dxa"/>
          </w:tcPr>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lastRenderedPageBreak/>
              <w:t xml:space="preserve">В </w:t>
            </w:r>
          </w:p>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С</w:t>
            </w:r>
          </w:p>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Н</w:t>
            </w:r>
          </w:p>
        </w:tc>
        <w:tc>
          <w:tcPr>
            <w:tcW w:w="1983" w:type="dxa"/>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567" w:type="dxa"/>
            <w:vAlign w:val="center"/>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429" w:type="dxa"/>
            <w:vAlign w:val="center"/>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852" w:type="dxa"/>
            <w:gridSpan w:val="2"/>
            <w:vAlign w:val="center"/>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2268" w:type="dxa"/>
          </w:tcPr>
          <w:p w:rsidR="00BD72B9" w:rsidRDefault="001844F5">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Абзац четвертий</w:t>
            </w:r>
          </w:p>
          <w:p w:rsidR="00BD72B9" w:rsidRDefault="001844F5">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пункту 23</w:t>
            </w:r>
          </w:p>
          <w:p w:rsidR="00BD72B9" w:rsidRDefault="001844F5">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highlight w:val="white"/>
              </w:rPr>
              <w:t>Ліцензійних умов</w:t>
            </w:r>
          </w:p>
        </w:tc>
      </w:tr>
      <w:tr w:rsidR="00BD72B9">
        <w:trPr>
          <w:trHeight w:val="1593"/>
        </w:trPr>
        <w:tc>
          <w:tcPr>
            <w:tcW w:w="706" w:type="dxa"/>
          </w:tcPr>
          <w:p w:rsidR="00BD72B9" w:rsidRDefault="002A07C0">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lastRenderedPageBreak/>
              <w:t>8</w:t>
            </w:r>
          </w:p>
        </w:tc>
        <w:tc>
          <w:tcPr>
            <w:tcW w:w="2975" w:type="dxa"/>
          </w:tcPr>
          <w:p w:rsidR="00BD72B9" w:rsidRDefault="001844F5">
            <w:pPr>
              <w:pBdr>
                <w:top w:val="nil"/>
                <w:left w:val="nil"/>
                <w:bottom w:val="nil"/>
                <w:right w:val="nil"/>
                <w:between w:val="nil"/>
              </w:pBdr>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Ліцензіат забезпечив доступність навчальних приміщень для осіб з інвалідністю та інших </w:t>
            </w:r>
            <w:proofErr w:type="spellStart"/>
            <w:r>
              <w:rPr>
                <w:rFonts w:ascii="Times New Roman" w:eastAsia="Times New Roman" w:hAnsi="Times New Roman" w:cs="Times New Roman"/>
                <w:color w:val="000000"/>
                <w:sz w:val="22"/>
                <w:szCs w:val="22"/>
              </w:rPr>
              <w:t>маломобільних</w:t>
            </w:r>
            <w:proofErr w:type="spellEnd"/>
            <w:r>
              <w:rPr>
                <w:rFonts w:ascii="Times New Roman" w:eastAsia="Times New Roman" w:hAnsi="Times New Roman" w:cs="Times New Roman"/>
                <w:color w:val="000000"/>
                <w:sz w:val="22"/>
                <w:szCs w:val="22"/>
              </w:rPr>
              <w:t xml:space="preserve"> груп населення, зокрема безперешкодний доступ до будівлі, навчальних класів (груп) та іншої інфраструктури відповідно до державних будівельних норм, правил і стандартів (крім будівель, існуюча </w:t>
            </w:r>
            <w:proofErr w:type="spellStart"/>
            <w:r>
              <w:rPr>
                <w:rFonts w:ascii="Times New Roman" w:eastAsia="Times New Roman" w:hAnsi="Times New Roman" w:cs="Times New Roman"/>
                <w:color w:val="000000"/>
                <w:sz w:val="22"/>
                <w:szCs w:val="22"/>
              </w:rPr>
              <w:t>об’ємно</w:t>
            </w:r>
            <w:proofErr w:type="spellEnd"/>
            <w:r>
              <w:rPr>
                <w:rFonts w:ascii="Times New Roman" w:eastAsia="Times New Roman" w:hAnsi="Times New Roman" w:cs="Times New Roman"/>
                <w:color w:val="000000"/>
                <w:sz w:val="22"/>
                <w:szCs w:val="22"/>
              </w:rPr>
              <w:t xml:space="preserve">-планувальна схема яких не розрахована на здійснення заходів щодо </w:t>
            </w:r>
            <w:proofErr w:type="spellStart"/>
            <w:r>
              <w:rPr>
                <w:rFonts w:ascii="Times New Roman" w:eastAsia="Times New Roman" w:hAnsi="Times New Roman" w:cs="Times New Roman"/>
                <w:color w:val="000000"/>
                <w:sz w:val="22"/>
                <w:szCs w:val="22"/>
              </w:rPr>
              <w:t>інклюзивності</w:t>
            </w:r>
            <w:proofErr w:type="spellEnd"/>
            <w:r>
              <w:rPr>
                <w:rFonts w:ascii="Times New Roman" w:eastAsia="Times New Roman" w:hAnsi="Times New Roman" w:cs="Times New Roman"/>
                <w:color w:val="000000"/>
                <w:sz w:val="22"/>
                <w:szCs w:val="22"/>
              </w:rPr>
              <w:t>), що повинно бути документально підтверджено фахівцем з питань технічного обстеження будівель та споруд, який має кваліфікаційний сертифікат, або відповідною установою, уповноваженою на проведення зазначених обстежень.</w:t>
            </w:r>
          </w:p>
        </w:tc>
        <w:tc>
          <w:tcPr>
            <w:tcW w:w="1135" w:type="dxa"/>
          </w:tcPr>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В </w:t>
            </w:r>
          </w:p>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С</w:t>
            </w:r>
          </w:p>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Н</w:t>
            </w:r>
          </w:p>
        </w:tc>
        <w:tc>
          <w:tcPr>
            <w:tcW w:w="1983" w:type="dxa"/>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567" w:type="dxa"/>
            <w:vAlign w:val="center"/>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429" w:type="dxa"/>
            <w:vAlign w:val="center"/>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852" w:type="dxa"/>
            <w:gridSpan w:val="2"/>
            <w:vAlign w:val="center"/>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2268" w:type="dxa"/>
          </w:tcPr>
          <w:p w:rsidR="00BD72B9" w:rsidRDefault="001844F5">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Пункт 25</w:t>
            </w:r>
          </w:p>
          <w:p w:rsidR="00BD72B9" w:rsidRDefault="001844F5">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highlight w:val="white"/>
              </w:rPr>
              <w:t>Ліцензійних умов</w:t>
            </w:r>
          </w:p>
        </w:tc>
      </w:tr>
      <w:tr w:rsidR="00BD72B9">
        <w:trPr>
          <w:trHeight w:val="1593"/>
        </w:trPr>
        <w:tc>
          <w:tcPr>
            <w:tcW w:w="706" w:type="dxa"/>
          </w:tcPr>
          <w:p w:rsidR="00BD72B9" w:rsidRDefault="002A07C0">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w:t>
            </w:r>
          </w:p>
        </w:tc>
        <w:tc>
          <w:tcPr>
            <w:tcW w:w="2975" w:type="dxa"/>
          </w:tcPr>
          <w:p w:rsidR="00BD72B9" w:rsidRDefault="001844F5">
            <w:pPr>
              <w:pBdr>
                <w:top w:val="nil"/>
                <w:left w:val="nil"/>
                <w:bottom w:val="nil"/>
                <w:right w:val="nil"/>
                <w:between w:val="nil"/>
              </w:pBdr>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Медичне обслуговування, організація харчування та прання, ведення бухгалтерського обліку і діловодства, інші додаткові для здійснення освітнього процесу види діяльності ліцензіата, передбачені законодавством, забезпечені та здійснюватися шляхом залучення ліцензіатом на договірних умовах інших суб’єктів господарювання, що мають право надавати відповідні послуги.</w:t>
            </w:r>
          </w:p>
        </w:tc>
        <w:tc>
          <w:tcPr>
            <w:tcW w:w="1135" w:type="dxa"/>
          </w:tcPr>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В </w:t>
            </w:r>
          </w:p>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С</w:t>
            </w:r>
          </w:p>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Н</w:t>
            </w:r>
          </w:p>
        </w:tc>
        <w:tc>
          <w:tcPr>
            <w:tcW w:w="1983" w:type="dxa"/>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567" w:type="dxa"/>
            <w:vAlign w:val="center"/>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429" w:type="dxa"/>
            <w:vAlign w:val="center"/>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852" w:type="dxa"/>
            <w:gridSpan w:val="2"/>
            <w:vAlign w:val="center"/>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2268" w:type="dxa"/>
          </w:tcPr>
          <w:p w:rsidR="00BD72B9" w:rsidRDefault="001844F5">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Пункт 26</w:t>
            </w:r>
          </w:p>
          <w:p w:rsidR="00BD72B9" w:rsidRDefault="001844F5">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highlight w:val="white"/>
              </w:rPr>
              <w:t>Ліцензійних умов</w:t>
            </w:r>
          </w:p>
        </w:tc>
      </w:tr>
      <w:tr w:rsidR="00BD72B9">
        <w:trPr>
          <w:trHeight w:val="1593"/>
        </w:trPr>
        <w:tc>
          <w:tcPr>
            <w:tcW w:w="706" w:type="dxa"/>
          </w:tcPr>
          <w:p w:rsidR="00BD72B9" w:rsidRDefault="002A07C0">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lastRenderedPageBreak/>
              <w:t>10</w:t>
            </w:r>
          </w:p>
        </w:tc>
        <w:tc>
          <w:tcPr>
            <w:tcW w:w="2975" w:type="dxa"/>
          </w:tcPr>
          <w:p w:rsidR="00BD72B9" w:rsidRDefault="001844F5">
            <w:pPr>
              <w:pBdr>
                <w:top w:val="nil"/>
                <w:left w:val="nil"/>
                <w:bottom w:val="nil"/>
                <w:right w:val="nil"/>
                <w:between w:val="nil"/>
              </w:pBdr>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Здобувачі професійної (професійно-технічної), фахової </w:t>
            </w:r>
            <w:proofErr w:type="spellStart"/>
            <w:r>
              <w:rPr>
                <w:rFonts w:ascii="Times New Roman" w:eastAsia="Times New Roman" w:hAnsi="Times New Roman" w:cs="Times New Roman"/>
                <w:color w:val="000000"/>
                <w:sz w:val="22"/>
                <w:szCs w:val="22"/>
              </w:rPr>
              <w:t>передвищої</w:t>
            </w:r>
            <w:proofErr w:type="spellEnd"/>
            <w:r>
              <w:rPr>
                <w:rFonts w:ascii="Times New Roman" w:eastAsia="Times New Roman" w:hAnsi="Times New Roman" w:cs="Times New Roman"/>
                <w:color w:val="000000"/>
                <w:sz w:val="22"/>
                <w:szCs w:val="22"/>
              </w:rPr>
              <w:t xml:space="preserve"> та вищої освіти, які цього потребують, забезпечені гуртожитком (крім навчання на виробництві).</w:t>
            </w:r>
          </w:p>
        </w:tc>
        <w:tc>
          <w:tcPr>
            <w:tcW w:w="1135" w:type="dxa"/>
          </w:tcPr>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В </w:t>
            </w:r>
          </w:p>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С</w:t>
            </w:r>
          </w:p>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Н</w:t>
            </w:r>
          </w:p>
        </w:tc>
        <w:tc>
          <w:tcPr>
            <w:tcW w:w="1983" w:type="dxa"/>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567" w:type="dxa"/>
            <w:vAlign w:val="center"/>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429" w:type="dxa"/>
            <w:vAlign w:val="center"/>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852" w:type="dxa"/>
            <w:gridSpan w:val="2"/>
            <w:vAlign w:val="center"/>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2268" w:type="dxa"/>
          </w:tcPr>
          <w:p w:rsidR="00BD72B9" w:rsidRDefault="001844F5">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Пункт 27</w:t>
            </w:r>
          </w:p>
          <w:p w:rsidR="00BD72B9" w:rsidRDefault="001844F5">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highlight w:val="white"/>
              </w:rPr>
              <w:t>Ліцензійних умов</w:t>
            </w:r>
          </w:p>
        </w:tc>
      </w:tr>
      <w:tr w:rsidR="00BD72B9">
        <w:trPr>
          <w:trHeight w:val="1593"/>
        </w:trPr>
        <w:tc>
          <w:tcPr>
            <w:tcW w:w="706" w:type="dxa"/>
          </w:tcPr>
          <w:p w:rsidR="00BD72B9" w:rsidRDefault="002A07C0">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11</w:t>
            </w:r>
          </w:p>
        </w:tc>
        <w:tc>
          <w:tcPr>
            <w:tcW w:w="2975" w:type="dxa"/>
          </w:tcPr>
          <w:p w:rsidR="00BD72B9" w:rsidRDefault="001844F5">
            <w:pPr>
              <w:pBdr>
                <w:top w:val="nil"/>
                <w:left w:val="nil"/>
                <w:bottom w:val="nil"/>
                <w:right w:val="nil"/>
                <w:between w:val="nil"/>
              </w:pBdr>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Ліцензіат забезпечив за місцем провадження освітньої діяльності доступ учасників освітнього процесу до Інтернету в номінальній швидкості для виконання затвердженої (затверджених) освітньої (освітніх) програми (програм), включаючи самостійну роботу здобувачів освіти, педагогічних та науково-педагогічних працівників.</w:t>
            </w:r>
          </w:p>
        </w:tc>
        <w:tc>
          <w:tcPr>
            <w:tcW w:w="1135" w:type="dxa"/>
          </w:tcPr>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В </w:t>
            </w:r>
          </w:p>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С</w:t>
            </w:r>
          </w:p>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Н</w:t>
            </w:r>
          </w:p>
        </w:tc>
        <w:tc>
          <w:tcPr>
            <w:tcW w:w="1983" w:type="dxa"/>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567" w:type="dxa"/>
            <w:vAlign w:val="center"/>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429" w:type="dxa"/>
            <w:vAlign w:val="center"/>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852" w:type="dxa"/>
            <w:gridSpan w:val="2"/>
            <w:vAlign w:val="center"/>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2268" w:type="dxa"/>
          </w:tcPr>
          <w:p w:rsidR="00BD72B9" w:rsidRDefault="001844F5">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Пункт 28</w:t>
            </w:r>
          </w:p>
          <w:p w:rsidR="00BD72B9" w:rsidRDefault="001844F5">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highlight w:val="white"/>
              </w:rPr>
              <w:t>Ліцензійних умов</w:t>
            </w:r>
          </w:p>
        </w:tc>
      </w:tr>
      <w:tr w:rsidR="00BD72B9">
        <w:trPr>
          <w:trHeight w:val="1593"/>
        </w:trPr>
        <w:tc>
          <w:tcPr>
            <w:tcW w:w="706" w:type="dxa"/>
          </w:tcPr>
          <w:p w:rsidR="00BD72B9" w:rsidRDefault="002A07C0">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12</w:t>
            </w:r>
          </w:p>
        </w:tc>
        <w:tc>
          <w:tcPr>
            <w:tcW w:w="2975" w:type="dxa"/>
          </w:tcPr>
          <w:p w:rsidR="00BD72B9" w:rsidRDefault="001844F5">
            <w:pPr>
              <w:pBdr>
                <w:top w:val="nil"/>
                <w:left w:val="nil"/>
                <w:bottom w:val="nil"/>
                <w:right w:val="nil"/>
                <w:between w:val="nil"/>
              </w:pBdr>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Ліцензіат (крім фізичних осіб - підприємців, які не використовують найманої праці, та професійного (професійно-технічного) навчання на виробництві) забезпечив на своїх веб-сайтах (у разі їх відсутності - на веб-сайтах своїх засновників) відкритий доступ до інформації та документів, передбачених </w:t>
            </w:r>
            <w:hyperlink r:id="rId8">
              <w:r>
                <w:rPr>
                  <w:rFonts w:ascii="Times New Roman" w:eastAsia="Times New Roman" w:hAnsi="Times New Roman" w:cs="Times New Roman"/>
                  <w:color w:val="000000"/>
                  <w:sz w:val="22"/>
                  <w:szCs w:val="22"/>
                </w:rPr>
                <w:t>Законом України</w:t>
              </w:r>
            </w:hyperlink>
            <w:r>
              <w:rPr>
                <w:rFonts w:ascii="Times New Roman" w:eastAsia="Times New Roman" w:hAnsi="Times New Roman" w:cs="Times New Roman"/>
                <w:color w:val="000000"/>
                <w:sz w:val="22"/>
                <w:szCs w:val="22"/>
              </w:rPr>
              <w:t> “Про освіту” та спеціальними законами у сфері освіти.</w:t>
            </w:r>
          </w:p>
        </w:tc>
        <w:tc>
          <w:tcPr>
            <w:tcW w:w="1135" w:type="dxa"/>
          </w:tcPr>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В </w:t>
            </w:r>
          </w:p>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С</w:t>
            </w:r>
          </w:p>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Н</w:t>
            </w:r>
          </w:p>
        </w:tc>
        <w:tc>
          <w:tcPr>
            <w:tcW w:w="1983" w:type="dxa"/>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567" w:type="dxa"/>
            <w:vAlign w:val="center"/>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429" w:type="dxa"/>
            <w:vAlign w:val="center"/>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852" w:type="dxa"/>
            <w:gridSpan w:val="2"/>
            <w:vAlign w:val="center"/>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2268" w:type="dxa"/>
          </w:tcPr>
          <w:p w:rsidR="00BD72B9" w:rsidRDefault="001844F5">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Абзац перший</w:t>
            </w:r>
          </w:p>
          <w:p w:rsidR="00BD72B9" w:rsidRDefault="001844F5">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пункту 29</w:t>
            </w:r>
          </w:p>
          <w:p w:rsidR="00BD72B9" w:rsidRDefault="001844F5">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highlight w:val="white"/>
              </w:rPr>
              <w:t>Ліцензійних умов</w:t>
            </w:r>
          </w:p>
        </w:tc>
      </w:tr>
      <w:tr w:rsidR="00BD72B9">
        <w:trPr>
          <w:trHeight w:val="1593"/>
        </w:trPr>
        <w:tc>
          <w:tcPr>
            <w:tcW w:w="706" w:type="dxa"/>
          </w:tcPr>
          <w:p w:rsidR="00BD72B9" w:rsidRDefault="002A07C0">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12.1</w:t>
            </w:r>
          </w:p>
        </w:tc>
        <w:tc>
          <w:tcPr>
            <w:tcW w:w="2975" w:type="dxa"/>
          </w:tcPr>
          <w:p w:rsidR="00BD72B9" w:rsidRDefault="001844F5">
            <w:pPr>
              <w:pBdr>
                <w:top w:val="nil"/>
                <w:left w:val="nil"/>
                <w:bottom w:val="nil"/>
                <w:right w:val="nil"/>
                <w:between w:val="nil"/>
              </w:pBdr>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У разі провадження освітньої діяльності з підготовки іноземців та осіб без громадянства на офіційному веб-сайті ліцензіата є в наявності сторінка англійською мовою, на якій розміщена основна інформація про суб’єкта освітньої діяльності, правила прийому іноземців та осіб без громадянства, умови навчання та проживання іноземців та осіб без громадянства, контактна інформація тощо.</w:t>
            </w:r>
          </w:p>
        </w:tc>
        <w:tc>
          <w:tcPr>
            <w:tcW w:w="1135" w:type="dxa"/>
          </w:tcPr>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В </w:t>
            </w:r>
          </w:p>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С</w:t>
            </w:r>
          </w:p>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Н</w:t>
            </w:r>
          </w:p>
        </w:tc>
        <w:tc>
          <w:tcPr>
            <w:tcW w:w="1983" w:type="dxa"/>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567" w:type="dxa"/>
            <w:vAlign w:val="center"/>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429" w:type="dxa"/>
            <w:vAlign w:val="center"/>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852" w:type="dxa"/>
            <w:gridSpan w:val="2"/>
            <w:vAlign w:val="center"/>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2268" w:type="dxa"/>
          </w:tcPr>
          <w:p w:rsidR="00BD72B9" w:rsidRDefault="001844F5">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Абзац другий</w:t>
            </w:r>
          </w:p>
          <w:p w:rsidR="00BD72B9" w:rsidRDefault="001844F5">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пункту29</w:t>
            </w:r>
          </w:p>
          <w:p w:rsidR="00BD72B9" w:rsidRDefault="001844F5">
            <w:pPr>
              <w:pBdr>
                <w:top w:val="nil"/>
                <w:left w:val="nil"/>
                <w:bottom w:val="nil"/>
                <w:right w:val="nil"/>
                <w:between w:val="nil"/>
              </w:pBdr>
              <w:rPr>
                <w:rFonts w:ascii="Times New Roman" w:eastAsia="Times New Roman" w:hAnsi="Times New Roman" w:cs="Times New Roman"/>
                <w:color w:val="000000"/>
                <w:sz w:val="22"/>
                <w:szCs w:val="22"/>
                <w:highlight w:val="white"/>
              </w:rPr>
            </w:pPr>
            <w:r>
              <w:rPr>
                <w:rFonts w:ascii="Times New Roman" w:eastAsia="Times New Roman" w:hAnsi="Times New Roman" w:cs="Times New Roman"/>
                <w:color w:val="000000"/>
                <w:sz w:val="22"/>
                <w:szCs w:val="22"/>
                <w:highlight w:val="white"/>
              </w:rPr>
              <w:t>Ліцензійних умов,</w:t>
            </w:r>
          </w:p>
          <w:p w:rsidR="00BD72B9" w:rsidRDefault="001844F5">
            <w:pPr>
              <w:rPr>
                <w:rFonts w:ascii="Times New Roman" w:eastAsia="Times New Roman" w:hAnsi="Times New Roman" w:cs="Times New Roman"/>
                <w:sz w:val="22"/>
                <w:szCs w:val="22"/>
              </w:rPr>
            </w:pPr>
            <w:r>
              <w:rPr>
                <w:rFonts w:ascii="Times New Roman" w:eastAsia="Times New Roman" w:hAnsi="Times New Roman" w:cs="Times New Roman"/>
                <w:sz w:val="22"/>
                <w:szCs w:val="22"/>
              </w:rPr>
              <w:t>стаття 30 Закону України «Про освіту»,</w:t>
            </w:r>
          </w:p>
          <w:p w:rsidR="00BD72B9" w:rsidRDefault="001844F5">
            <w:pPr>
              <w:rPr>
                <w:rFonts w:ascii="Times New Roman" w:eastAsia="Times New Roman" w:hAnsi="Times New Roman" w:cs="Times New Roman"/>
                <w:sz w:val="22"/>
                <w:szCs w:val="22"/>
              </w:rPr>
            </w:pPr>
            <w:r>
              <w:rPr>
                <w:rFonts w:ascii="Times New Roman" w:eastAsia="Times New Roman" w:hAnsi="Times New Roman" w:cs="Times New Roman"/>
                <w:sz w:val="22"/>
                <w:szCs w:val="22"/>
              </w:rPr>
              <w:t>пункт 2 Наказу МОН</w:t>
            </w:r>
          </w:p>
          <w:p w:rsidR="00BD72B9" w:rsidRDefault="001844F5">
            <w:pPr>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1432 </w:t>
            </w:r>
          </w:p>
          <w:p w:rsidR="00BD72B9" w:rsidRDefault="00BD72B9">
            <w:pPr>
              <w:pBdr>
                <w:top w:val="nil"/>
                <w:left w:val="nil"/>
                <w:bottom w:val="nil"/>
                <w:right w:val="nil"/>
                <w:between w:val="nil"/>
              </w:pBdr>
              <w:rPr>
                <w:rFonts w:ascii="Times New Roman" w:eastAsia="Times New Roman" w:hAnsi="Times New Roman" w:cs="Times New Roman"/>
                <w:sz w:val="22"/>
                <w:szCs w:val="22"/>
                <w:highlight w:val="white"/>
              </w:rPr>
            </w:pPr>
          </w:p>
        </w:tc>
      </w:tr>
      <w:tr w:rsidR="00BD72B9">
        <w:trPr>
          <w:trHeight w:val="1593"/>
        </w:trPr>
        <w:tc>
          <w:tcPr>
            <w:tcW w:w="706" w:type="dxa"/>
          </w:tcPr>
          <w:p w:rsidR="00BD72B9" w:rsidRDefault="002A07C0">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lastRenderedPageBreak/>
              <w:t>13</w:t>
            </w:r>
          </w:p>
        </w:tc>
        <w:tc>
          <w:tcPr>
            <w:tcW w:w="2975" w:type="dxa"/>
          </w:tcPr>
          <w:p w:rsidR="00BD72B9" w:rsidRDefault="001844F5">
            <w:pPr>
              <w:pBdr>
                <w:top w:val="nil"/>
                <w:left w:val="nil"/>
                <w:bottom w:val="nil"/>
                <w:right w:val="nil"/>
                <w:between w:val="nil"/>
              </w:pBdr>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Ліцензіат забезпечив подання в електронній формі відомостей про кадрове та матеріально-технічне забезпечення закладу освіти, його відокремленого структурного підрозділу, які передбачені цими Ліцензійними умовами, до Єдиної державної електронної бази з питань освіти.</w:t>
            </w:r>
          </w:p>
        </w:tc>
        <w:tc>
          <w:tcPr>
            <w:tcW w:w="1135" w:type="dxa"/>
          </w:tcPr>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В </w:t>
            </w:r>
          </w:p>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С</w:t>
            </w:r>
          </w:p>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Н</w:t>
            </w:r>
          </w:p>
        </w:tc>
        <w:tc>
          <w:tcPr>
            <w:tcW w:w="1983" w:type="dxa"/>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567" w:type="dxa"/>
            <w:vAlign w:val="center"/>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429" w:type="dxa"/>
            <w:vAlign w:val="center"/>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852" w:type="dxa"/>
            <w:gridSpan w:val="2"/>
            <w:vAlign w:val="center"/>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2268" w:type="dxa"/>
          </w:tcPr>
          <w:p w:rsidR="00BD72B9" w:rsidRDefault="001844F5">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Абзац перший</w:t>
            </w:r>
          </w:p>
          <w:p w:rsidR="00BD72B9" w:rsidRDefault="001844F5">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пункту 30</w:t>
            </w:r>
          </w:p>
          <w:p w:rsidR="00BD72B9" w:rsidRDefault="001844F5">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highlight w:val="white"/>
              </w:rPr>
              <w:t>Ліцензійних умов</w:t>
            </w:r>
          </w:p>
        </w:tc>
      </w:tr>
      <w:tr w:rsidR="00BD72B9">
        <w:trPr>
          <w:trHeight w:val="1593"/>
        </w:trPr>
        <w:tc>
          <w:tcPr>
            <w:tcW w:w="706" w:type="dxa"/>
          </w:tcPr>
          <w:p w:rsidR="00BD72B9" w:rsidRDefault="002A07C0">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13.1</w:t>
            </w:r>
          </w:p>
        </w:tc>
        <w:tc>
          <w:tcPr>
            <w:tcW w:w="2975" w:type="dxa"/>
          </w:tcPr>
          <w:p w:rsidR="00BD72B9" w:rsidRDefault="001844F5">
            <w:pPr>
              <w:pBdr>
                <w:top w:val="nil"/>
                <w:left w:val="nil"/>
                <w:bottom w:val="nil"/>
                <w:right w:val="nil"/>
                <w:between w:val="nil"/>
              </w:pBdr>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Ліцензіат забезпечив актуальність відомостей про кадрове та матеріально-технічне забезпечення в Єдиній державній електронній базі з питань освіти. Відомості про зміни даних у кадровому та матеріально-технічному забезпеченні вносяться ліцензіатом протягом тридцяти календарних днів з дня настання таких змін.</w:t>
            </w:r>
          </w:p>
        </w:tc>
        <w:tc>
          <w:tcPr>
            <w:tcW w:w="1135" w:type="dxa"/>
          </w:tcPr>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В </w:t>
            </w:r>
          </w:p>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С</w:t>
            </w:r>
          </w:p>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Н</w:t>
            </w:r>
          </w:p>
        </w:tc>
        <w:tc>
          <w:tcPr>
            <w:tcW w:w="1983" w:type="dxa"/>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567" w:type="dxa"/>
            <w:vAlign w:val="center"/>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429" w:type="dxa"/>
            <w:vAlign w:val="center"/>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852" w:type="dxa"/>
            <w:gridSpan w:val="2"/>
            <w:vAlign w:val="center"/>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2268" w:type="dxa"/>
          </w:tcPr>
          <w:p w:rsidR="00BD72B9" w:rsidRDefault="001844F5">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Абзац другий</w:t>
            </w:r>
          </w:p>
          <w:p w:rsidR="00BD72B9" w:rsidRDefault="001844F5">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пункту 30</w:t>
            </w:r>
          </w:p>
          <w:p w:rsidR="00BD72B9" w:rsidRDefault="001844F5">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highlight w:val="white"/>
              </w:rPr>
              <w:t>Ліцензійних умов</w:t>
            </w:r>
          </w:p>
        </w:tc>
      </w:tr>
      <w:tr w:rsidR="00BD72B9">
        <w:trPr>
          <w:trHeight w:val="1593"/>
        </w:trPr>
        <w:tc>
          <w:tcPr>
            <w:tcW w:w="706" w:type="dxa"/>
          </w:tcPr>
          <w:p w:rsidR="00BD72B9" w:rsidRDefault="002A07C0">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14</w:t>
            </w:r>
          </w:p>
        </w:tc>
        <w:tc>
          <w:tcPr>
            <w:tcW w:w="2975" w:type="dxa"/>
          </w:tcPr>
          <w:p w:rsidR="00BD72B9" w:rsidRPr="00065167" w:rsidRDefault="001844F5">
            <w:pPr>
              <w:pBdr>
                <w:top w:val="nil"/>
                <w:left w:val="nil"/>
                <w:bottom w:val="nil"/>
                <w:right w:val="nil"/>
                <w:between w:val="nil"/>
              </w:pBdr>
              <w:jc w:val="both"/>
              <w:rPr>
                <w:rFonts w:ascii="Times New Roman" w:eastAsia="Times New Roman" w:hAnsi="Times New Roman" w:cs="Times New Roman"/>
                <w:color w:val="000000"/>
                <w:sz w:val="22"/>
                <w:szCs w:val="22"/>
              </w:rPr>
            </w:pPr>
            <w:r w:rsidRPr="00065167">
              <w:rPr>
                <w:rFonts w:ascii="Times New Roman" w:eastAsia="Times New Roman" w:hAnsi="Times New Roman" w:cs="Times New Roman"/>
                <w:color w:val="000000"/>
                <w:sz w:val="22"/>
                <w:szCs w:val="22"/>
              </w:rPr>
              <w:t xml:space="preserve">Вищі військові навчальні заклади (військові навчальні підрозділи закладів вищої освіти, заклади вищої освіти із специфічними умовами навчання), заклади фахової </w:t>
            </w:r>
            <w:proofErr w:type="spellStart"/>
            <w:r w:rsidRPr="00065167">
              <w:rPr>
                <w:rFonts w:ascii="Times New Roman" w:eastAsia="Times New Roman" w:hAnsi="Times New Roman" w:cs="Times New Roman"/>
                <w:color w:val="000000"/>
                <w:sz w:val="22"/>
                <w:szCs w:val="22"/>
              </w:rPr>
              <w:t>передвищої</w:t>
            </w:r>
            <w:proofErr w:type="spellEnd"/>
            <w:r w:rsidRPr="00065167">
              <w:rPr>
                <w:rFonts w:ascii="Times New Roman" w:eastAsia="Times New Roman" w:hAnsi="Times New Roman" w:cs="Times New Roman"/>
                <w:color w:val="000000"/>
                <w:sz w:val="22"/>
                <w:szCs w:val="22"/>
              </w:rPr>
              <w:t xml:space="preserve"> військової освіти, заклади фахової </w:t>
            </w:r>
            <w:proofErr w:type="spellStart"/>
            <w:r w:rsidRPr="00065167">
              <w:rPr>
                <w:rFonts w:ascii="Times New Roman" w:eastAsia="Times New Roman" w:hAnsi="Times New Roman" w:cs="Times New Roman"/>
                <w:color w:val="000000"/>
                <w:sz w:val="22"/>
                <w:szCs w:val="22"/>
              </w:rPr>
              <w:t>передвищої</w:t>
            </w:r>
            <w:proofErr w:type="spellEnd"/>
            <w:r w:rsidRPr="00065167">
              <w:rPr>
                <w:rFonts w:ascii="Times New Roman" w:eastAsia="Times New Roman" w:hAnsi="Times New Roman" w:cs="Times New Roman"/>
                <w:color w:val="000000"/>
                <w:sz w:val="22"/>
                <w:szCs w:val="22"/>
              </w:rPr>
              <w:t xml:space="preserve"> освіти та професійної (професійно-технічної) освіти із специфічними умовами навчання подають відомості про дотримання кадрових, технологічних та інших вимог безпосередньо органу ліцензування.</w:t>
            </w:r>
            <w:bookmarkStart w:id="1" w:name="_GoBack"/>
            <w:bookmarkEnd w:id="1"/>
          </w:p>
        </w:tc>
        <w:tc>
          <w:tcPr>
            <w:tcW w:w="1135" w:type="dxa"/>
          </w:tcPr>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В </w:t>
            </w:r>
          </w:p>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С</w:t>
            </w:r>
          </w:p>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Н</w:t>
            </w:r>
          </w:p>
        </w:tc>
        <w:tc>
          <w:tcPr>
            <w:tcW w:w="1983" w:type="dxa"/>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567" w:type="dxa"/>
            <w:vAlign w:val="center"/>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429" w:type="dxa"/>
            <w:vAlign w:val="center"/>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852" w:type="dxa"/>
            <w:gridSpan w:val="2"/>
            <w:vAlign w:val="center"/>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2268" w:type="dxa"/>
          </w:tcPr>
          <w:p w:rsidR="00BD72B9" w:rsidRDefault="001844F5">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Пункт 31</w:t>
            </w:r>
          </w:p>
          <w:p w:rsidR="00BD72B9" w:rsidRDefault="001844F5">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highlight w:val="white"/>
              </w:rPr>
              <w:t>Ліцензійних умов</w:t>
            </w:r>
          </w:p>
        </w:tc>
      </w:tr>
      <w:tr w:rsidR="00BD72B9">
        <w:trPr>
          <w:trHeight w:val="377"/>
        </w:trPr>
        <w:tc>
          <w:tcPr>
            <w:tcW w:w="10915" w:type="dxa"/>
            <w:gridSpan w:val="9"/>
          </w:tcPr>
          <w:p w:rsidR="00BD72B9" w:rsidRDefault="001844F5">
            <w:pPr>
              <w:numPr>
                <w:ilvl w:val="0"/>
                <w:numId w:val="1"/>
              </w:num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b/>
                <w:i/>
                <w:color w:val="000000"/>
                <w:sz w:val="24"/>
                <w:szCs w:val="24"/>
              </w:rPr>
              <w:t>Спеціальні вимоги щодо провадження освітньої діяльності</w:t>
            </w:r>
          </w:p>
        </w:tc>
      </w:tr>
      <w:tr w:rsidR="00BD72B9">
        <w:trPr>
          <w:trHeight w:val="1593"/>
        </w:trPr>
        <w:tc>
          <w:tcPr>
            <w:tcW w:w="706" w:type="dxa"/>
          </w:tcPr>
          <w:p w:rsidR="00BD72B9" w:rsidRDefault="002A07C0">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15</w:t>
            </w:r>
          </w:p>
        </w:tc>
        <w:tc>
          <w:tcPr>
            <w:tcW w:w="2975" w:type="dxa"/>
          </w:tcPr>
          <w:p w:rsidR="00BD72B9" w:rsidRDefault="001844F5">
            <w:pPr>
              <w:pBdr>
                <w:top w:val="nil"/>
                <w:left w:val="nil"/>
                <w:bottom w:val="nil"/>
                <w:right w:val="nil"/>
                <w:between w:val="nil"/>
              </w:pBdr>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Ліцензіатам не провадить діяльність релігійних організацій чи політичних партій або брати участь у такій діяльності (крім закладів освіти, визначених </w:t>
            </w:r>
            <w:hyperlink r:id="rId9" w:anchor="n470">
              <w:r>
                <w:rPr>
                  <w:rFonts w:ascii="Times New Roman" w:eastAsia="Times New Roman" w:hAnsi="Times New Roman" w:cs="Times New Roman"/>
                  <w:color w:val="000000"/>
                  <w:sz w:val="22"/>
                  <w:szCs w:val="22"/>
                </w:rPr>
                <w:t>частиною другою</w:t>
              </w:r>
            </w:hyperlink>
            <w:r>
              <w:rPr>
                <w:rFonts w:ascii="Times New Roman" w:eastAsia="Times New Roman" w:hAnsi="Times New Roman" w:cs="Times New Roman"/>
                <w:color w:val="000000"/>
                <w:sz w:val="22"/>
                <w:szCs w:val="22"/>
              </w:rPr>
              <w:t> статті 31 Закону України “Про освіту”).</w:t>
            </w:r>
          </w:p>
        </w:tc>
        <w:tc>
          <w:tcPr>
            <w:tcW w:w="1135" w:type="dxa"/>
          </w:tcPr>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В </w:t>
            </w:r>
          </w:p>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С</w:t>
            </w:r>
          </w:p>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Н</w:t>
            </w:r>
          </w:p>
        </w:tc>
        <w:tc>
          <w:tcPr>
            <w:tcW w:w="1983" w:type="dxa"/>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567" w:type="dxa"/>
            <w:vAlign w:val="center"/>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429" w:type="dxa"/>
            <w:vAlign w:val="center"/>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852" w:type="dxa"/>
            <w:gridSpan w:val="2"/>
            <w:vAlign w:val="center"/>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2268" w:type="dxa"/>
          </w:tcPr>
          <w:p w:rsidR="00BD72B9" w:rsidRDefault="001844F5">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Абзац перший</w:t>
            </w:r>
          </w:p>
          <w:p w:rsidR="00BD72B9" w:rsidRDefault="001844F5">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Пункту 34</w:t>
            </w:r>
          </w:p>
          <w:p w:rsidR="00BD72B9" w:rsidRDefault="001844F5">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highlight w:val="white"/>
              </w:rPr>
              <w:t>Ліцензійних умов</w:t>
            </w:r>
          </w:p>
        </w:tc>
      </w:tr>
      <w:tr w:rsidR="00BD72B9">
        <w:trPr>
          <w:trHeight w:val="1593"/>
        </w:trPr>
        <w:tc>
          <w:tcPr>
            <w:tcW w:w="706" w:type="dxa"/>
          </w:tcPr>
          <w:p w:rsidR="00BD72B9" w:rsidRDefault="002A07C0">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lastRenderedPageBreak/>
              <w:t>15.1</w:t>
            </w:r>
          </w:p>
        </w:tc>
        <w:tc>
          <w:tcPr>
            <w:tcW w:w="2975" w:type="dxa"/>
          </w:tcPr>
          <w:p w:rsidR="00BD72B9" w:rsidRDefault="001844F5">
            <w:pPr>
              <w:pBdr>
                <w:top w:val="nil"/>
                <w:left w:val="nil"/>
                <w:bottom w:val="nil"/>
                <w:right w:val="nil"/>
                <w:between w:val="nil"/>
              </w:pBdr>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Ліцензіат не перебуває прямо чи опосередковано під контролем (у значенні, наведеному в </w:t>
            </w:r>
            <w:hyperlink r:id="rId10" w:anchor="n10">
              <w:r>
                <w:rPr>
                  <w:rFonts w:ascii="Times New Roman" w:eastAsia="Times New Roman" w:hAnsi="Times New Roman" w:cs="Times New Roman"/>
                  <w:color w:val="000000"/>
                  <w:sz w:val="22"/>
                  <w:szCs w:val="22"/>
                </w:rPr>
                <w:t>статті 1 </w:t>
              </w:r>
            </w:hyperlink>
            <w:r>
              <w:rPr>
                <w:rFonts w:ascii="Times New Roman" w:eastAsia="Times New Roman" w:hAnsi="Times New Roman" w:cs="Times New Roman"/>
                <w:color w:val="000000"/>
                <w:sz w:val="22"/>
                <w:szCs w:val="22"/>
              </w:rPr>
              <w:t>Закону України “Про захист економічної конкуренції”) резидентів держав, що здійснюють збройну агресію проти України (у значенні, наведеному в </w:t>
            </w:r>
            <w:hyperlink r:id="rId11" w:anchor="n138">
              <w:r>
                <w:rPr>
                  <w:rFonts w:ascii="Times New Roman" w:eastAsia="Times New Roman" w:hAnsi="Times New Roman" w:cs="Times New Roman"/>
                  <w:color w:val="000000"/>
                  <w:sz w:val="22"/>
                  <w:szCs w:val="22"/>
                </w:rPr>
                <w:t>статті 1</w:t>
              </w:r>
            </w:hyperlink>
            <w:r>
              <w:rPr>
                <w:rFonts w:ascii="Times New Roman" w:eastAsia="Times New Roman" w:hAnsi="Times New Roman" w:cs="Times New Roman"/>
                <w:color w:val="000000"/>
                <w:sz w:val="22"/>
                <w:szCs w:val="22"/>
              </w:rPr>
              <w:t> Закону України “Про оборону України”) та/або дії яких створюють умови для виникнення воєнного конфлікту та застосування воєнної сили проти України, та/або не можуть діяти в інтересах таких осіб.</w:t>
            </w:r>
          </w:p>
        </w:tc>
        <w:tc>
          <w:tcPr>
            <w:tcW w:w="1135" w:type="dxa"/>
          </w:tcPr>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В </w:t>
            </w:r>
          </w:p>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С</w:t>
            </w:r>
          </w:p>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Н</w:t>
            </w:r>
          </w:p>
        </w:tc>
        <w:tc>
          <w:tcPr>
            <w:tcW w:w="1983" w:type="dxa"/>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567" w:type="dxa"/>
            <w:vAlign w:val="center"/>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429" w:type="dxa"/>
            <w:vAlign w:val="center"/>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852" w:type="dxa"/>
            <w:gridSpan w:val="2"/>
            <w:vAlign w:val="center"/>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2268" w:type="dxa"/>
          </w:tcPr>
          <w:p w:rsidR="00BD72B9" w:rsidRDefault="001844F5">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Абзац другий </w:t>
            </w:r>
          </w:p>
          <w:p w:rsidR="00BD72B9" w:rsidRDefault="001844F5">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Пункту 34</w:t>
            </w:r>
          </w:p>
          <w:p w:rsidR="00BD72B9" w:rsidRDefault="001844F5">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highlight w:val="white"/>
              </w:rPr>
              <w:t>Ліцензійних умов</w:t>
            </w:r>
          </w:p>
        </w:tc>
      </w:tr>
      <w:tr w:rsidR="00BD72B9">
        <w:trPr>
          <w:trHeight w:val="636"/>
        </w:trPr>
        <w:tc>
          <w:tcPr>
            <w:tcW w:w="10915" w:type="dxa"/>
            <w:gridSpan w:val="9"/>
          </w:tcPr>
          <w:p w:rsidR="00BD72B9" w:rsidRDefault="001844F5" w:rsidP="00D3421E">
            <w:pPr>
              <w:numPr>
                <w:ilvl w:val="0"/>
                <w:numId w:val="1"/>
              </w:num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b/>
                <w:i/>
                <w:color w:val="000000"/>
                <w:sz w:val="24"/>
                <w:szCs w:val="24"/>
              </w:rPr>
              <w:t>Кадрові вимоги щодо провадження освітньої діяльності у сфері післядипломної освіти</w:t>
            </w:r>
          </w:p>
        </w:tc>
      </w:tr>
      <w:tr w:rsidR="00BD72B9">
        <w:trPr>
          <w:trHeight w:val="315"/>
        </w:trPr>
        <w:tc>
          <w:tcPr>
            <w:tcW w:w="706" w:type="dxa"/>
          </w:tcPr>
          <w:p w:rsidR="00BD72B9" w:rsidRDefault="002A07C0">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16</w:t>
            </w:r>
          </w:p>
        </w:tc>
        <w:tc>
          <w:tcPr>
            <w:tcW w:w="2975" w:type="dxa"/>
          </w:tcPr>
          <w:p w:rsidR="00BD72B9" w:rsidRDefault="001844F5">
            <w:pPr>
              <w:pBdr>
                <w:top w:val="nil"/>
                <w:left w:val="nil"/>
                <w:bottom w:val="nil"/>
                <w:right w:val="nil"/>
                <w:between w:val="nil"/>
              </w:pBdr>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Ліцензіат забезпечений педагогічними, науково-педагогічними, науковими та іншими працівниками, необхідними для виконання затвердженої (затверджених) освітньої (освітніх) програми (програм) підвищення кваліфікації за відповідною спеціальністю, програм підготовки в інтернатурі за спеціальністю та навчальних планів.</w:t>
            </w:r>
          </w:p>
        </w:tc>
        <w:tc>
          <w:tcPr>
            <w:tcW w:w="1135" w:type="dxa"/>
          </w:tcPr>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В </w:t>
            </w:r>
          </w:p>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С</w:t>
            </w:r>
          </w:p>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Н</w:t>
            </w:r>
          </w:p>
        </w:tc>
        <w:tc>
          <w:tcPr>
            <w:tcW w:w="1983" w:type="dxa"/>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567" w:type="dxa"/>
          </w:tcPr>
          <w:p w:rsidR="00BD72B9" w:rsidRDefault="00BD72B9">
            <w:pPr>
              <w:pBdr>
                <w:top w:val="nil"/>
                <w:left w:val="nil"/>
                <w:bottom w:val="nil"/>
                <w:right w:val="nil"/>
                <w:between w:val="nil"/>
              </w:pBdr>
              <w:spacing w:after="200" w:line="276" w:lineRule="auto"/>
              <w:rPr>
                <w:color w:val="000000"/>
                <w:sz w:val="22"/>
                <w:szCs w:val="22"/>
              </w:rPr>
            </w:pPr>
          </w:p>
        </w:tc>
        <w:tc>
          <w:tcPr>
            <w:tcW w:w="485" w:type="dxa"/>
            <w:gridSpan w:val="2"/>
          </w:tcPr>
          <w:p w:rsidR="00BD72B9" w:rsidRDefault="00BD72B9">
            <w:pPr>
              <w:pBdr>
                <w:top w:val="nil"/>
                <w:left w:val="nil"/>
                <w:bottom w:val="nil"/>
                <w:right w:val="nil"/>
                <w:between w:val="nil"/>
              </w:pBdr>
              <w:spacing w:after="200" w:line="276" w:lineRule="auto"/>
              <w:rPr>
                <w:color w:val="000000"/>
                <w:sz w:val="22"/>
                <w:szCs w:val="22"/>
              </w:rPr>
            </w:pPr>
          </w:p>
        </w:tc>
        <w:tc>
          <w:tcPr>
            <w:tcW w:w="796" w:type="dxa"/>
            <w:vAlign w:val="center"/>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2268" w:type="dxa"/>
          </w:tcPr>
          <w:p w:rsidR="00BD72B9" w:rsidRDefault="001844F5">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Абзац перший пункту 43 Ліцензійних умов</w:t>
            </w:r>
          </w:p>
        </w:tc>
      </w:tr>
      <w:tr w:rsidR="00BD72B9">
        <w:trPr>
          <w:trHeight w:val="315"/>
        </w:trPr>
        <w:tc>
          <w:tcPr>
            <w:tcW w:w="706" w:type="dxa"/>
          </w:tcPr>
          <w:p w:rsidR="00BD72B9" w:rsidRDefault="002A07C0">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16</w:t>
            </w:r>
            <w:r w:rsidR="001844F5">
              <w:rPr>
                <w:rFonts w:ascii="Times New Roman" w:eastAsia="Times New Roman" w:hAnsi="Times New Roman" w:cs="Times New Roman"/>
                <w:color w:val="000000"/>
                <w:sz w:val="22"/>
                <w:szCs w:val="22"/>
              </w:rPr>
              <w:t>.1</w:t>
            </w:r>
          </w:p>
        </w:tc>
        <w:tc>
          <w:tcPr>
            <w:tcW w:w="2975" w:type="dxa"/>
          </w:tcPr>
          <w:p w:rsidR="00BD72B9" w:rsidRDefault="001844F5">
            <w:pPr>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Кожний освітній компонент освітньої програми підвищення кваліфікації з певної спеціальності, освітні та практичні компоненти програми підготовки в інтернатурі з певної спеціальності повинні бути в повному обсязі забезпечені педагогічними, науково-педагогічними, науковими та іншими працівниками з урахуванням їх освітньої та/або професійної кваліфікації.</w:t>
            </w:r>
          </w:p>
        </w:tc>
        <w:tc>
          <w:tcPr>
            <w:tcW w:w="1135" w:type="dxa"/>
          </w:tcPr>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В </w:t>
            </w:r>
          </w:p>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С</w:t>
            </w:r>
          </w:p>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Н</w:t>
            </w:r>
          </w:p>
        </w:tc>
        <w:tc>
          <w:tcPr>
            <w:tcW w:w="1983" w:type="dxa"/>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567" w:type="dxa"/>
          </w:tcPr>
          <w:p w:rsidR="00BD72B9" w:rsidRDefault="00BD72B9">
            <w:pPr>
              <w:pBdr>
                <w:top w:val="nil"/>
                <w:left w:val="nil"/>
                <w:bottom w:val="nil"/>
                <w:right w:val="nil"/>
                <w:between w:val="nil"/>
              </w:pBdr>
              <w:spacing w:after="200" w:line="276" w:lineRule="auto"/>
              <w:rPr>
                <w:color w:val="000000"/>
                <w:sz w:val="22"/>
                <w:szCs w:val="22"/>
              </w:rPr>
            </w:pPr>
          </w:p>
        </w:tc>
        <w:tc>
          <w:tcPr>
            <w:tcW w:w="485" w:type="dxa"/>
            <w:gridSpan w:val="2"/>
          </w:tcPr>
          <w:p w:rsidR="00BD72B9" w:rsidRDefault="00BD72B9">
            <w:pPr>
              <w:pBdr>
                <w:top w:val="nil"/>
                <w:left w:val="nil"/>
                <w:bottom w:val="nil"/>
                <w:right w:val="nil"/>
                <w:between w:val="nil"/>
              </w:pBdr>
              <w:spacing w:after="200" w:line="276" w:lineRule="auto"/>
              <w:rPr>
                <w:color w:val="000000"/>
                <w:sz w:val="22"/>
                <w:szCs w:val="22"/>
              </w:rPr>
            </w:pPr>
          </w:p>
        </w:tc>
        <w:tc>
          <w:tcPr>
            <w:tcW w:w="796" w:type="dxa"/>
            <w:vAlign w:val="center"/>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2268" w:type="dxa"/>
          </w:tcPr>
          <w:p w:rsidR="00BD72B9" w:rsidRDefault="001844F5">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Абзац другий  пункту 43 Ліцензійних умов</w:t>
            </w:r>
          </w:p>
        </w:tc>
      </w:tr>
      <w:tr w:rsidR="00BD72B9">
        <w:trPr>
          <w:trHeight w:val="315"/>
        </w:trPr>
        <w:tc>
          <w:tcPr>
            <w:tcW w:w="10915" w:type="dxa"/>
            <w:gridSpan w:val="9"/>
          </w:tcPr>
          <w:p w:rsidR="00BD72B9" w:rsidRDefault="001844F5" w:rsidP="00D3421E">
            <w:pPr>
              <w:numPr>
                <w:ilvl w:val="0"/>
                <w:numId w:val="1"/>
              </w:num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b/>
                <w:i/>
                <w:color w:val="000000"/>
                <w:sz w:val="24"/>
                <w:szCs w:val="24"/>
              </w:rPr>
              <w:t xml:space="preserve"> Технологічні вимоги щодо провадження освітньої діяльності у сфері післядипломної освіти</w:t>
            </w:r>
          </w:p>
        </w:tc>
      </w:tr>
      <w:tr w:rsidR="00BD72B9">
        <w:trPr>
          <w:trHeight w:val="315"/>
        </w:trPr>
        <w:tc>
          <w:tcPr>
            <w:tcW w:w="706" w:type="dxa"/>
          </w:tcPr>
          <w:p w:rsidR="00BD72B9" w:rsidRDefault="002A07C0">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17</w:t>
            </w:r>
          </w:p>
        </w:tc>
        <w:tc>
          <w:tcPr>
            <w:tcW w:w="2975" w:type="dxa"/>
          </w:tcPr>
          <w:p w:rsidR="00BD72B9" w:rsidRDefault="001844F5">
            <w:pPr>
              <w:pBdr>
                <w:top w:val="nil"/>
                <w:left w:val="nil"/>
                <w:bottom w:val="nil"/>
                <w:right w:val="nil"/>
                <w:between w:val="nil"/>
              </w:pBdr>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До матеріально-технічного забезпечення освітньої діяльності у сфері післядипломної освіти до ліцензіата встановлюються такі технологічні вимоги, а саме:</w:t>
            </w:r>
          </w:p>
        </w:tc>
        <w:tc>
          <w:tcPr>
            <w:tcW w:w="1135" w:type="dxa"/>
          </w:tcPr>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В </w:t>
            </w:r>
          </w:p>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С</w:t>
            </w:r>
          </w:p>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Н</w:t>
            </w:r>
          </w:p>
        </w:tc>
        <w:tc>
          <w:tcPr>
            <w:tcW w:w="1983" w:type="dxa"/>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567" w:type="dxa"/>
            <w:vAlign w:val="center"/>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429" w:type="dxa"/>
            <w:vAlign w:val="center"/>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852" w:type="dxa"/>
            <w:gridSpan w:val="2"/>
            <w:vAlign w:val="center"/>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2268" w:type="dxa"/>
          </w:tcPr>
          <w:p w:rsidR="00BD72B9" w:rsidRDefault="001844F5">
            <w:pPr>
              <w:pBdr>
                <w:top w:val="nil"/>
                <w:left w:val="nil"/>
                <w:bottom w:val="nil"/>
                <w:right w:val="nil"/>
                <w:between w:val="nil"/>
              </w:pBdr>
              <w:rPr>
                <w:rFonts w:ascii="Times New Roman" w:eastAsia="Times New Roman" w:hAnsi="Times New Roman" w:cs="Times New Roman"/>
                <w:color w:val="000000"/>
                <w:sz w:val="22"/>
                <w:szCs w:val="22"/>
                <w:highlight w:val="white"/>
              </w:rPr>
            </w:pPr>
            <w:r>
              <w:rPr>
                <w:rFonts w:ascii="Times New Roman" w:eastAsia="Times New Roman" w:hAnsi="Times New Roman" w:cs="Times New Roman"/>
                <w:color w:val="000000"/>
                <w:sz w:val="22"/>
                <w:szCs w:val="22"/>
                <w:highlight w:val="white"/>
              </w:rPr>
              <w:t>Пункт  44 Ліцензійних умов</w:t>
            </w:r>
          </w:p>
        </w:tc>
      </w:tr>
      <w:tr w:rsidR="00BD72B9">
        <w:trPr>
          <w:trHeight w:val="2164"/>
        </w:trPr>
        <w:tc>
          <w:tcPr>
            <w:tcW w:w="706" w:type="dxa"/>
          </w:tcPr>
          <w:p w:rsidR="00BD72B9" w:rsidRDefault="002A07C0">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lastRenderedPageBreak/>
              <w:t>17</w:t>
            </w:r>
            <w:r w:rsidR="001844F5">
              <w:rPr>
                <w:rFonts w:ascii="Times New Roman" w:eastAsia="Times New Roman" w:hAnsi="Times New Roman" w:cs="Times New Roman"/>
                <w:color w:val="000000"/>
                <w:sz w:val="22"/>
                <w:szCs w:val="22"/>
              </w:rPr>
              <w:t>.1</w:t>
            </w:r>
          </w:p>
        </w:tc>
        <w:tc>
          <w:tcPr>
            <w:tcW w:w="2975" w:type="dxa"/>
          </w:tcPr>
          <w:p w:rsidR="00BD72B9" w:rsidRDefault="001844F5">
            <w:pPr>
              <w:pBdr>
                <w:top w:val="nil"/>
                <w:left w:val="nil"/>
                <w:bottom w:val="nil"/>
                <w:right w:val="nil"/>
                <w:between w:val="nil"/>
              </w:pBdr>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наявність документів, які підтверджують право власності чи користування майном для провадження освітньої діяльності;</w:t>
            </w:r>
          </w:p>
        </w:tc>
        <w:tc>
          <w:tcPr>
            <w:tcW w:w="1135" w:type="dxa"/>
          </w:tcPr>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В </w:t>
            </w:r>
          </w:p>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С</w:t>
            </w:r>
          </w:p>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highlight w:val="white"/>
              </w:rPr>
            </w:pPr>
            <w:r>
              <w:rPr>
                <w:rFonts w:ascii="Times New Roman" w:eastAsia="Times New Roman" w:hAnsi="Times New Roman" w:cs="Times New Roman"/>
                <w:color w:val="000000"/>
                <w:sz w:val="22"/>
                <w:szCs w:val="22"/>
              </w:rPr>
              <w:t>Н</w:t>
            </w:r>
            <w:r>
              <w:rPr>
                <w:rFonts w:ascii="Times New Roman" w:eastAsia="Times New Roman" w:hAnsi="Times New Roman" w:cs="Times New Roman"/>
                <w:color w:val="000000"/>
                <w:sz w:val="22"/>
                <w:szCs w:val="22"/>
                <w:highlight w:val="white"/>
              </w:rPr>
              <w:t xml:space="preserve"> </w:t>
            </w:r>
          </w:p>
        </w:tc>
        <w:tc>
          <w:tcPr>
            <w:tcW w:w="1983" w:type="dxa"/>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567" w:type="dxa"/>
            <w:vAlign w:val="center"/>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429" w:type="dxa"/>
            <w:vAlign w:val="center"/>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852" w:type="dxa"/>
            <w:gridSpan w:val="2"/>
            <w:vAlign w:val="center"/>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2268" w:type="dxa"/>
          </w:tcPr>
          <w:p w:rsidR="00BD72B9" w:rsidRDefault="001844F5">
            <w:pPr>
              <w:pBdr>
                <w:top w:val="nil"/>
                <w:left w:val="nil"/>
                <w:bottom w:val="nil"/>
                <w:right w:val="nil"/>
                <w:between w:val="nil"/>
              </w:pBdr>
              <w:rPr>
                <w:rFonts w:ascii="Times New Roman" w:eastAsia="Times New Roman" w:hAnsi="Times New Roman" w:cs="Times New Roman"/>
                <w:color w:val="000000"/>
                <w:sz w:val="22"/>
                <w:szCs w:val="22"/>
                <w:highlight w:val="white"/>
              </w:rPr>
            </w:pPr>
            <w:r>
              <w:rPr>
                <w:rFonts w:ascii="Times New Roman" w:eastAsia="Times New Roman" w:hAnsi="Times New Roman" w:cs="Times New Roman"/>
                <w:color w:val="000000"/>
                <w:sz w:val="22"/>
                <w:szCs w:val="22"/>
                <w:highlight w:val="white"/>
              </w:rPr>
              <w:t>підпункт перший</w:t>
            </w:r>
          </w:p>
          <w:p w:rsidR="00BD72B9" w:rsidRDefault="001844F5">
            <w:pPr>
              <w:pBdr>
                <w:top w:val="nil"/>
                <w:left w:val="nil"/>
                <w:bottom w:val="nil"/>
                <w:right w:val="nil"/>
                <w:between w:val="nil"/>
              </w:pBdr>
              <w:rPr>
                <w:rFonts w:ascii="Times New Roman" w:eastAsia="Times New Roman" w:hAnsi="Times New Roman" w:cs="Times New Roman"/>
                <w:color w:val="000000"/>
                <w:sz w:val="22"/>
                <w:szCs w:val="22"/>
                <w:highlight w:val="white"/>
              </w:rPr>
            </w:pPr>
            <w:r>
              <w:rPr>
                <w:rFonts w:ascii="Times New Roman" w:eastAsia="Times New Roman" w:hAnsi="Times New Roman" w:cs="Times New Roman"/>
                <w:color w:val="000000"/>
                <w:sz w:val="22"/>
                <w:szCs w:val="22"/>
                <w:highlight w:val="white"/>
              </w:rPr>
              <w:t>Пункту 44</w:t>
            </w:r>
          </w:p>
          <w:p w:rsidR="00BD72B9" w:rsidRDefault="001844F5">
            <w:pPr>
              <w:pBdr>
                <w:top w:val="nil"/>
                <w:left w:val="nil"/>
                <w:bottom w:val="nil"/>
                <w:right w:val="nil"/>
                <w:between w:val="nil"/>
              </w:pBdr>
              <w:rPr>
                <w:rFonts w:ascii="Times New Roman" w:eastAsia="Times New Roman" w:hAnsi="Times New Roman" w:cs="Times New Roman"/>
                <w:color w:val="000000"/>
                <w:sz w:val="22"/>
                <w:szCs w:val="22"/>
                <w:highlight w:val="white"/>
              </w:rPr>
            </w:pPr>
            <w:r>
              <w:rPr>
                <w:rFonts w:ascii="Times New Roman" w:eastAsia="Times New Roman" w:hAnsi="Times New Roman" w:cs="Times New Roman"/>
                <w:color w:val="000000"/>
                <w:sz w:val="22"/>
                <w:szCs w:val="22"/>
                <w:highlight w:val="white"/>
              </w:rPr>
              <w:t>Ліцензійних умов</w:t>
            </w:r>
          </w:p>
        </w:tc>
      </w:tr>
      <w:tr w:rsidR="00BD72B9">
        <w:trPr>
          <w:trHeight w:val="315"/>
        </w:trPr>
        <w:tc>
          <w:tcPr>
            <w:tcW w:w="706" w:type="dxa"/>
          </w:tcPr>
          <w:p w:rsidR="00BD72B9" w:rsidRDefault="002A07C0">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17</w:t>
            </w:r>
            <w:r w:rsidR="001844F5">
              <w:rPr>
                <w:rFonts w:ascii="Times New Roman" w:eastAsia="Times New Roman" w:hAnsi="Times New Roman" w:cs="Times New Roman"/>
                <w:color w:val="000000"/>
                <w:sz w:val="22"/>
                <w:szCs w:val="22"/>
              </w:rPr>
              <w:t>.2</w:t>
            </w:r>
          </w:p>
        </w:tc>
        <w:tc>
          <w:tcPr>
            <w:tcW w:w="2975" w:type="dxa"/>
          </w:tcPr>
          <w:p w:rsidR="00BD72B9" w:rsidRDefault="001844F5">
            <w:pPr>
              <w:pBdr>
                <w:top w:val="nil"/>
                <w:left w:val="nil"/>
                <w:bottom w:val="nil"/>
                <w:right w:val="nil"/>
                <w:between w:val="nil"/>
              </w:pBdr>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забезпечення навчальними приміщеннями та засобами провадження освітньої діяльності в обсязі, достатньому для виконання затверджених освітньої (освітніх) програми (програм) підвищення кваліфікації, програм підготовки в інтернатурі та навчальних планів відповідної спеціальності.</w:t>
            </w:r>
          </w:p>
        </w:tc>
        <w:tc>
          <w:tcPr>
            <w:tcW w:w="1135" w:type="dxa"/>
          </w:tcPr>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В </w:t>
            </w:r>
          </w:p>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С</w:t>
            </w:r>
          </w:p>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Н </w:t>
            </w:r>
          </w:p>
        </w:tc>
        <w:tc>
          <w:tcPr>
            <w:tcW w:w="1983" w:type="dxa"/>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567" w:type="dxa"/>
            <w:vAlign w:val="center"/>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429" w:type="dxa"/>
            <w:vAlign w:val="center"/>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852" w:type="dxa"/>
            <w:gridSpan w:val="2"/>
            <w:vAlign w:val="center"/>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2268" w:type="dxa"/>
          </w:tcPr>
          <w:p w:rsidR="00BD72B9" w:rsidRDefault="001844F5">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підпункт другий</w:t>
            </w:r>
          </w:p>
          <w:p w:rsidR="00BD72B9" w:rsidRDefault="001844F5">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Пункт 44</w:t>
            </w:r>
          </w:p>
          <w:p w:rsidR="00BD72B9" w:rsidRDefault="001844F5">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highlight w:val="white"/>
              </w:rPr>
              <w:t>Ліцензійних умов</w:t>
            </w:r>
          </w:p>
        </w:tc>
      </w:tr>
      <w:tr w:rsidR="00BD72B9">
        <w:trPr>
          <w:trHeight w:val="315"/>
        </w:trPr>
        <w:tc>
          <w:tcPr>
            <w:tcW w:w="706" w:type="dxa"/>
          </w:tcPr>
          <w:p w:rsidR="00BD72B9" w:rsidRDefault="002A07C0">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17</w:t>
            </w:r>
            <w:r w:rsidR="001844F5">
              <w:rPr>
                <w:rFonts w:ascii="Times New Roman" w:eastAsia="Times New Roman" w:hAnsi="Times New Roman" w:cs="Times New Roman"/>
                <w:color w:val="000000"/>
                <w:sz w:val="22"/>
                <w:szCs w:val="22"/>
              </w:rPr>
              <w:t>.3</w:t>
            </w:r>
          </w:p>
        </w:tc>
        <w:tc>
          <w:tcPr>
            <w:tcW w:w="2975" w:type="dxa"/>
          </w:tcPr>
          <w:p w:rsidR="00BD72B9" w:rsidRDefault="001844F5">
            <w:pPr>
              <w:pBdr>
                <w:top w:val="nil"/>
                <w:left w:val="nil"/>
                <w:bottom w:val="nil"/>
                <w:right w:val="nil"/>
                <w:between w:val="nil"/>
              </w:pBdr>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площа навчальних приміщень для здійснення освітнього процесу становить не менш як 2,4 </w:t>
            </w:r>
            <w:proofErr w:type="spellStart"/>
            <w:r>
              <w:rPr>
                <w:rFonts w:ascii="Times New Roman" w:eastAsia="Times New Roman" w:hAnsi="Times New Roman" w:cs="Times New Roman"/>
                <w:color w:val="000000"/>
                <w:sz w:val="22"/>
                <w:szCs w:val="22"/>
              </w:rPr>
              <w:t>кв</w:t>
            </w:r>
            <w:proofErr w:type="spellEnd"/>
            <w:r>
              <w:rPr>
                <w:rFonts w:ascii="Times New Roman" w:eastAsia="Times New Roman" w:hAnsi="Times New Roman" w:cs="Times New Roman"/>
                <w:color w:val="000000"/>
                <w:sz w:val="22"/>
                <w:szCs w:val="22"/>
              </w:rPr>
              <w:t>. метра на одну особу з урахуванням не більше трьох змін навчання та ліцензованих обсягів всіх чинних ліцензій (крім підвищення кваліфікації у дистанційній формі навчання за державним замовленням та підвищення кваліфікації працівника за місцем його роботи).</w:t>
            </w:r>
          </w:p>
        </w:tc>
        <w:tc>
          <w:tcPr>
            <w:tcW w:w="1135" w:type="dxa"/>
          </w:tcPr>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В </w:t>
            </w:r>
          </w:p>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С</w:t>
            </w:r>
          </w:p>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Н</w:t>
            </w:r>
          </w:p>
        </w:tc>
        <w:tc>
          <w:tcPr>
            <w:tcW w:w="1983" w:type="dxa"/>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567" w:type="dxa"/>
            <w:vAlign w:val="center"/>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429" w:type="dxa"/>
            <w:vAlign w:val="center"/>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852" w:type="dxa"/>
            <w:gridSpan w:val="2"/>
            <w:vAlign w:val="center"/>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2268" w:type="dxa"/>
          </w:tcPr>
          <w:p w:rsidR="00BD72B9" w:rsidRDefault="001844F5">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Абзац другий</w:t>
            </w:r>
          </w:p>
          <w:p w:rsidR="00BD72B9" w:rsidRDefault="001844F5">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Пункту 44</w:t>
            </w:r>
          </w:p>
          <w:p w:rsidR="00BD72B9" w:rsidRDefault="001844F5">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highlight w:val="white"/>
              </w:rPr>
              <w:t>Ліцензійних умов</w:t>
            </w:r>
            <w:r>
              <w:rPr>
                <w:rFonts w:ascii="Times New Roman" w:eastAsia="Times New Roman" w:hAnsi="Times New Roman" w:cs="Times New Roman"/>
                <w:color w:val="000000"/>
                <w:sz w:val="22"/>
                <w:szCs w:val="22"/>
              </w:rPr>
              <w:t xml:space="preserve"> </w:t>
            </w:r>
          </w:p>
        </w:tc>
      </w:tr>
      <w:tr w:rsidR="00BD72B9">
        <w:trPr>
          <w:trHeight w:val="315"/>
        </w:trPr>
        <w:tc>
          <w:tcPr>
            <w:tcW w:w="706" w:type="dxa"/>
          </w:tcPr>
          <w:p w:rsidR="00BD72B9" w:rsidRDefault="002A07C0">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18</w:t>
            </w:r>
          </w:p>
        </w:tc>
        <w:tc>
          <w:tcPr>
            <w:tcW w:w="2975" w:type="dxa"/>
          </w:tcPr>
          <w:p w:rsidR="00BD72B9" w:rsidRDefault="001844F5">
            <w:pPr>
              <w:pBdr>
                <w:top w:val="nil"/>
                <w:left w:val="nil"/>
                <w:bottom w:val="nil"/>
                <w:right w:val="nil"/>
                <w:between w:val="nil"/>
              </w:pBdr>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наявність затверджених освітньої (освітніх) програми (програм) підвищення кваліфікації, програм підготовки в інтернатурі та навчальних планів відповідної спеціальності (освітньої програми), програм навчальних дисциплін.</w:t>
            </w:r>
          </w:p>
        </w:tc>
        <w:tc>
          <w:tcPr>
            <w:tcW w:w="1135" w:type="dxa"/>
          </w:tcPr>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В </w:t>
            </w:r>
          </w:p>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С</w:t>
            </w:r>
          </w:p>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Н</w:t>
            </w:r>
          </w:p>
        </w:tc>
        <w:tc>
          <w:tcPr>
            <w:tcW w:w="1983" w:type="dxa"/>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567" w:type="dxa"/>
            <w:vAlign w:val="center"/>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429" w:type="dxa"/>
            <w:vAlign w:val="center"/>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852" w:type="dxa"/>
            <w:gridSpan w:val="2"/>
            <w:vAlign w:val="center"/>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2268" w:type="dxa"/>
          </w:tcPr>
          <w:p w:rsidR="00BD72B9" w:rsidRDefault="001844F5">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Пункт  45 Ліцензійних умов</w:t>
            </w:r>
          </w:p>
        </w:tc>
      </w:tr>
      <w:tr w:rsidR="00BD72B9">
        <w:trPr>
          <w:trHeight w:val="315"/>
        </w:trPr>
        <w:tc>
          <w:tcPr>
            <w:tcW w:w="706" w:type="dxa"/>
          </w:tcPr>
          <w:p w:rsidR="00BD72B9" w:rsidRDefault="002A07C0">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19</w:t>
            </w:r>
          </w:p>
        </w:tc>
        <w:tc>
          <w:tcPr>
            <w:tcW w:w="2975" w:type="dxa"/>
          </w:tcPr>
          <w:p w:rsidR="00BD72B9" w:rsidRDefault="001844F5">
            <w:pPr>
              <w:pBdr>
                <w:top w:val="nil"/>
                <w:left w:val="nil"/>
                <w:bottom w:val="nil"/>
                <w:right w:val="nil"/>
                <w:between w:val="nil"/>
              </w:pBdr>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До інформаційного забезпечення освітньої діяльності ліцензіат виконує встановлену вимогу щодо забезпечення доступу здобувачів освіти до електронних версій необхідних підручників, навчальних посібників, конспектів лекцій тощо (або </w:t>
            </w:r>
            <w:r>
              <w:rPr>
                <w:rFonts w:ascii="Times New Roman" w:eastAsia="Times New Roman" w:hAnsi="Times New Roman" w:cs="Times New Roman"/>
                <w:color w:val="000000"/>
                <w:sz w:val="22"/>
                <w:szCs w:val="22"/>
              </w:rPr>
              <w:lastRenderedPageBreak/>
              <w:t>відповідного електронного ресурсу).</w:t>
            </w:r>
          </w:p>
        </w:tc>
        <w:tc>
          <w:tcPr>
            <w:tcW w:w="1135" w:type="dxa"/>
          </w:tcPr>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lastRenderedPageBreak/>
              <w:t xml:space="preserve">В </w:t>
            </w:r>
          </w:p>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С</w:t>
            </w:r>
          </w:p>
          <w:p w:rsidR="00BD72B9" w:rsidRDefault="001844F5">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Н</w:t>
            </w:r>
          </w:p>
        </w:tc>
        <w:tc>
          <w:tcPr>
            <w:tcW w:w="1983" w:type="dxa"/>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567" w:type="dxa"/>
            <w:vAlign w:val="center"/>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429" w:type="dxa"/>
            <w:vAlign w:val="center"/>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852" w:type="dxa"/>
            <w:gridSpan w:val="2"/>
            <w:vAlign w:val="center"/>
          </w:tcPr>
          <w:p w:rsidR="00BD72B9" w:rsidRDefault="00BD72B9">
            <w:pPr>
              <w:pBdr>
                <w:top w:val="nil"/>
                <w:left w:val="nil"/>
                <w:bottom w:val="nil"/>
                <w:right w:val="nil"/>
                <w:between w:val="nil"/>
              </w:pBdr>
              <w:jc w:val="center"/>
              <w:rPr>
                <w:rFonts w:ascii="Times New Roman" w:eastAsia="Times New Roman" w:hAnsi="Times New Roman" w:cs="Times New Roman"/>
                <w:color w:val="000000"/>
                <w:sz w:val="22"/>
                <w:szCs w:val="22"/>
              </w:rPr>
            </w:pPr>
          </w:p>
        </w:tc>
        <w:tc>
          <w:tcPr>
            <w:tcW w:w="2268" w:type="dxa"/>
          </w:tcPr>
          <w:p w:rsidR="00BD72B9" w:rsidRDefault="001844F5">
            <w:pPr>
              <w:pBdr>
                <w:top w:val="nil"/>
                <w:left w:val="nil"/>
                <w:bottom w:val="nil"/>
                <w:right w:val="nil"/>
                <w:between w:val="nil"/>
              </w:pBdr>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Пункт  46 Ліцензійних</w:t>
            </w:r>
          </w:p>
        </w:tc>
      </w:tr>
    </w:tbl>
    <w:p w:rsidR="00BD72B9" w:rsidRDefault="00BD72B9">
      <w:pPr>
        <w:pBdr>
          <w:top w:val="nil"/>
          <w:left w:val="nil"/>
          <w:bottom w:val="nil"/>
          <w:right w:val="nil"/>
          <w:between w:val="nil"/>
        </w:pBdr>
        <w:tabs>
          <w:tab w:val="center" w:pos="4677"/>
          <w:tab w:val="right" w:pos="9355"/>
        </w:tabs>
        <w:rPr>
          <w:rFonts w:ascii="Times New Roman" w:eastAsia="Times New Roman" w:hAnsi="Times New Roman" w:cs="Times New Roman"/>
          <w:color w:val="000000"/>
          <w:sz w:val="22"/>
          <w:szCs w:val="22"/>
        </w:rPr>
      </w:pPr>
    </w:p>
    <w:p w:rsidR="00BD72B9" w:rsidRDefault="001844F5">
      <w:pPr>
        <w:pBdr>
          <w:top w:val="nil"/>
          <w:left w:val="nil"/>
          <w:bottom w:val="nil"/>
          <w:right w:val="nil"/>
          <w:between w:val="nil"/>
        </w:pBdr>
        <w:tabs>
          <w:tab w:val="center" w:pos="4677"/>
          <w:tab w:val="right" w:pos="9355"/>
        </w:tabs>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*Ступені ризику: «Н» - незначний, «С» - середній, «В» - високий.</w:t>
      </w:r>
    </w:p>
    <w:p w:rsidR="00BD72B9" w:rsidRDefault="00BD72B9">
      <w:pPr>
        <w:pBdr>
          <w:top w:val="nil"/>
          <w:left w:val="nil"/>
          <w:bottom w:val="nil"/>
          <w:right w:val="nil"/>
          <w:between w:val="nil"/>
        </w:pBdr>
        <w:tabs>
          <w:tab w:val="center" w:pos="4677"/>
          <w:tab w:val="right" w:pos="9355"/>
        </w:tabs>
        <w:rPr>
          <w:rFonts w:ascii="Times New Roman" w:eastAsia="Times New Roman" w:hAnsi="Times New Roman" w:cs="Times New Roman"/>
          <w:color w:val="000000"/>
          <w:sz w:val="22"/>
          <w:szCs w:val="22"/>
        </w:rPr>
      </w:pPr>
    </w:p>
    <w:p w:rsidR="00BD72B9" w:rsidRDefault="001844F5">
      <w:pPr>
        <w:pBdr>
          <w:top w:val="nil"/>
          <w:left w:val="nil"/>
          <w:bottom w:val="nil"/>
          <w:right w:val="nil"/>
          <w:between w:val="nil"/>
        </w:pBdr>
        <w:tabs>
          <w:tab w:val="center" w:pos="4677"/>
          <w:tab w:val="right" w:pos="9355"/>
        </w:tabs>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Заповнює керівник суб’єкта господарювання або уповноважена ним особа у добровільному порядку шляхом присвоєння кожному з питань від 1 до 4 балів, де 4 позначає питання щодо вимоги законодавства, дотримання якої має найбільше адміністративне, фінансове або будь-яке інше навантаження на суб’єкта господарювання, 1 –  питання щодо вимоги законодавства, дотримання якої не передбачає такого навантаження на суб’єкта господарювання.</w:t>
      </w:r>
    </w:p>
    <w:p w:rsidR="00BD72B9" w:rsidRDefault="00BD72B9">
      <w:pPr>
        <w:pBdr>
          <w:top w:val="nil"/>
          <w:left w:val="nil"/>
          <w:bottom w:val="nil"/>
          <w:right w:val="nil"/>
          <w:between w:val="nil"/>
        </w:pBdr>
        <w:jc w:val="both"/>
        <w:rPr>
          <w:rFonts w:ascii="Times New Roman" w:eastAsia="Times New Roman" w:hAnsi="Times New Roman" w:cs="Times New Roman"/>
          <w:color w:val="000000"/>
          <w:sz w:val="28"/>
          <w:szCs w:val="28"/>
        </w:rPr>
      </w:pPr>
    </w:p>
    <w:p w:rsidR="00BD72B9" w:rsidRDefault="00BD72B9">
      <w:pPr>
        <w:pBdr>
          <w:top w:val="nil"/>
          <w:left w:val="nil"/>
          <w:bottom w:val="nil"/>
          <w:right w:val="nil"/>
          <w:between w:val="nil"/>
        </w:pBdr>
        <w:jc w:val="both"/>
        <w:rPr>
          <w:rFonts w:ascii="Times New Roman" w:eastAsia="Times New Roman" w:hAnsi="Times New Roman" w:cs="Times New Roman"/>
          <w:color w:val="000000"/>
          <w:sz w:val="28"/>
          <w:szCs w:val="28"/>
        </w:rPr>
      </w:pPr>
    </w:p>
    <w:sectPr w:rsidR="00BD72B9">
      <w:headerReference w:type="default" r:id="rId12"/>
      <w:headerReference w:type="first" r:id="rId13"/>
      <w:pgSz w:w="11906" w:h="16838"/>
      <w:pgMar w:top="709" w:right="567" w:bottom="567" w:left="1134" w:header="426" w:footer="182"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6FA8" w:rsidRDefault="001A6FA8">
      <w:r>
        <w:separator/>
      </w:r>
    </w:p>
  </w:endnote>
  <w:endnote w:type="continuationSeparator" w:id="0">
    <w:p w:rsidR="001A6FA8" w:rsidRDefault="001A6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6FA8" w:rsidRDefault="001A6FA8">
      <w:r>
        <w:separator/>
      </w:r>
    </w:p>
  </w:footnote>
  <w:footnote w:type="continuationSeparator" w:id="0">
    <w:p w:rsidR="001A6FA8" w:rsidRDefault="001A6FA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72B9" w:rsidRDefault="001844F5">
    <w:pPr>
      <w:pBdr>
        <w:top w:val="nil"/>
        <w:left w:val="nil"/>
        <w:bottom w:val="nil"/>
        <w:right w:val="nil"/>
        <w:between w:val="nil"/>
      </w:pBdr>
      <w:tabs>
        <w:tab w:val="center" w:pos="4677"/>
        <w:tab w:val="right" w:pos="9355"/>
      </w:tabs>
      <w:spacing w:after="200" w:line="276"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fldChar w:fldCharType="begin"/>
    </w:r>
    <w:r>
      <w:rPr>
        <w:rFonts w:ascii="Times New Roman" w:eastAsia="Times New Roman" w:hAnsi="Times New Roman" w:cs="Times New Roman"/>
        <w:color w:val="000000"/>
        <w:sz w:val="24"/>
        <w:szCs w:val="24"/>
      </w:rPr>
      <w:instrText>PAGE</w:instrText>
    </w:r>
    <w:r>
      <w:rPr>
        <w:rFonts w:ascii="Times New Roman" w:eastAsia="Times New Roman" w:hAnsi="Times New Roman" w:cs="Times New Roman"/>
        <w:color w:val="000000"/>
        <w:sz w:val="24"/>
        <w:szCs w:val="24"/>
      </w:rPr>
      <w:fldChar w:fldCharType="separate"/>
    </w:r>
    <w:r w:rsidR="00065167">
      <w:rPr>
        <w:rFonts w:ascii="Times New Roman" w:eastAsia="Times New Roman" w:hAnsi="Times New Roman" w:cs="Times New Roman"/>
        <w:noProof/>
        <w:color w:val="000000"/>
        <w:sz w:val="24"/>
        <w:szCs w:val="24"/>
      </w:rPr>
      <w:t>8</w:t>
    </w:r>
    <w:r>
      <w:rPr>
        <w:rFonts w:ascii="Times New Roman" w:eastAsia="Times New Roman" w:hAnsi="Times New Roman" w:cs="Times New Roman"/>
        <w:color w:val="000000"/>
        <w:sz w:val="24"/>
        <w:szCs w:val="24"/>
      </w:rPr>
      <w:fldChar w:fldCharType="end"/>
    </w:r>
  </w:p>
  <w:p w:rsidR="00BD72B9" w:rsidRDefault="00BD72B9">
    <w:pPr>
      <w:pBdr>
        <w:top w:val="nil"/>
        <w:left w:val="nil"/>
        <w:bottom w:val="nil"/>
        <w:right w:val="nil"/>
        <w:between w:val="nil"/>
      </w:pBdr>
      <w:tabs>
        <w:tab w:val="center" w:pos="4677"/>
        <w:tab w:val="right" w:pos="9355"/>
      </w:tabs>
      <w:spacing w:after="200" w:line="276" w:lineRule="auto"/>
      <w:rPr>
        <w:color w:val="000000"/>
        <w:sz w:val="22"/>
        <w:szCs w:val="22"/>
      </w:rPr>
    </w:pPr>
  </w:p>
  <w:p w:rsidR="00BD72B9" w:rsidRDefault="001844F5">
    <w:pPr>
      <w:pBdr>
        <w:top w:val="nil"/>
        <w:left w:val="nil"/>
        <w:bottom w:val="nil"/>
        <w:right w:val="nil"/>
        <w:between w:val="nil"/>
      </w:pBdr>
      <w:tabs>
        <w:tab w:val="left" w:pos="8647"/>
        <w:tab w:val="left" w:pos="10205"/>
      </w:tabs>
      <w:spacing w:after="60"/>
      <w:ind w:left="4395" w:firstLine="1275"/>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Продовження додатка 1</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72B9" w:rsidRDefault="00BD72B9">
    <w:pPr>
      <w:pBdr>
        <w:top w:val="nil"/>
        <w:left w:val="nil"/>
        <w:bottom w:val="nil"/>
        <w:right w:val="nil"/>
        <w:between w:val="nil"/>
      </w:pBdr>
      <w:tabs>
        <w:tab w:val="center" w:pos="4677"/>
        <w:tab w:val="right" w:pos="9355"/>
      </w:tabs>
      <w:spacing w:after="200" w:line="276" w:lineRule="auto"/>
      <w:jc w:val="center"/>
      <w:rPr>
        <w:rFonts w:ascii="Times New Roman" w:eastAsia="Times New Roman" w:hAnsi="Times New Roman" w:cs="Times New Roman"/>
        <w:color w:val="000000"/>
        <w:sz w:val="24"/>
        <w:szCs w:val="24"/>
      </w:rPr>
    </w:pPr>
  </w:p>
  <w:p w:rsidR="00BD72B9" w:rsidRDefault="00BD72B9">
    <w:pPr>
      <w:pBdr>
        <w:top w:val="nil"/>
        <w:left w:val="nil"/>
        <w:bottom w:val="nil"/>
        <w:right w:val="nil"/>
        <w:between w:val="nil"/>
      </w:pBdr>
      <w:tabs>
        <w:tab w:val="left" w:pos="8647"/>
        <w:tab w:val="left" w:pos="10205"/>
      </w:tabs>
      <w:spacing w:after="60"/>
      <w:ind w:left="4395" w:firstLine="1842"/>
      <w:jc w:val="right"/>
      <w:rPr>
        <w:rFonts w:ascii="Times New Roman" w:eastAsia="Times New Roman" w:hAnsi="Times New Roman" w:cs="Times New Roman"/>
        <w:color w:val="000000"/>
        <w:sz w:val="24"/>
        <w:szCs w:val="24"/>
      </w:rPr>
    </w:pPr>
  </w:p>
  <w:p w:rsidR="00BD72B9" w:rsidRDefault="001844F5">
    <w:pPr>
      <w:pBdr>
        <w:top w:val="nil"/>
        <w:left w:val="nil"/>
        <w:bottom w:val="nil"/>
        <w:right w:val="nil"/>
        <w:between w:val="nil"/>
      </w:pBdr>
      <w:tabs>
        <w:tab w:val="left" w:pos="8647"/>
        <w:tab w:val="left" w:pos="10205"/>
      </w:tabs>
      <w:spacing w:after="60"/>
      <w:ind w:left="4395" w:firstLine="127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Додаток 1</w:t>
    </w:r>
  </w:p>
  <w:p w:rsidR="00BD72B9" w:rsidRDefault="001844F5">
    <w:pPr>
      <w:pBdr>
        <w:top w:val="nil"/>
        <w:left w:val="nil"/>
        <w:bottom w:val="nil"/>
        <w:right w:val="nil"/>
        <w:between w:val="nil"/>
      </w:pBdr>
      <w:tabs>
        <w:tab w:val="left" w:pos="8647"/>
        <w:tab w:val="left" w:pos="10205"/>
      </w:tabs>
      <w:spacing w:after="60"/>
      <w:ind w:left="567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до </w:t>
    </w:r>
    <w:proofErr w:type="spellStart"/>
    <w:r>
      <w:rPr>
        <w:rFonts w:ascii="Times New Roman" w:eastAsia="Times New Roman" w:hAnsi="Times New Roman" w:cs="Times New Roman"/>
        <w:color w:val="000000"/>
      </w:rPr>
      <w:t>Акта</w:t>
    </w:r>
    <w:proofErr w:type="spellEnd"/>
    <w:r>
      <w:rPr>
        <w:rFonts w:ascii="Times New Roman" w:eastAsia="Times New Roman" w:hAnsi="Times New Roman" w:cs="Times New Roman"/>
        <w:color w:val="000000"/>
      </w:rPr>
      <w:t>, складеного за результатами проведення  планового (позапланового) заходу державного нагляду (контролю) щодо дотримання суб’єктом господарювання вимог законодавства у сфері освітньої діяльності, що підлягає ліцензуванню</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7DA7256"/>
    <w:multiLevelType w:val="multilevel"/>
    <w:tmpl w:val="5234094A"/>
    <w:lvl w:ilvl="0">
      <w:start w:val="1"/>
      <w:numFmt w:val="decimal"/>
      <w:lvlText w:val="%1."/>
      <w:lvlJc w:val="left"/>
      <w:pPr>
        <w:ind w:left="720" w:hanging="360"/>
      </w:pPr>
      <w:rPr>
        <w:b/>
        <w:i/>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72B9"/>
    <w:rsid w:val="00065167"/>
    <w:rsid w:val="001844F5"/>
    <w:rsid w:val="001A6FA8"/>
    <w:rsid w:val="002A07C0"/>
    <w:rsid w:val="00BD72B9"/>
    <w:rsid w:val="00D3421E"/>
    <w:rsid w:val="00F043A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44591B9-242D-4C63-90C5-3476FE90A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1"/>
    <w:tblPr>
      <w:tblStyleRowBandSize w:val="1"/>
      <w:tblStyleColBandSize w:val="1"/>
      <w:tblCellMar>
        <w:left w:w="108" w:type="dxa"/>
        <w:right w:w="108" w:type="dxa"/>
      </w:tblCellMar>
    </w:tblPr>
  </w:style>
  <w:style w:type="paragraph" w:styleId="a6">
    <w:name w:val="List Paragraph"/>
    <w:basedOn w:val="a"/>
    <w:uiPriority w:val="34"/>
    <w:qFormat/>
    <w:rsid w:val="000208CE"/>
    <w:pPr>
      <w:ind w:left="720"/>
      <w:contextualSpacing/>
    </w:pPr>
  </w:style>
  <w:style w:type="character" w:styleId="a7">
    <w:name w:val="Hyperlink"/>
    <w:basedOn w:val="a0"/>
    <w:uiPriority w:val="99"/>
    <w:semiHidden/>
    <w:unhideWhenUsed/>
    <w:rsid w:val="005A2E0C"/>
    <w:rPr>
      <w:color w:val="0000FF"/>
      <w:u w:val="single"/>
    </w:rPr>
  </w:style>
  <w:style w:type="table" w:customStyle="1" w:styleId="a8">
    <w:basedOn w:val="TableNormal1"/>
    <w:tblPr>
      <w:tblStyleRowBandSize w:val="1"/>
      <w:tblStyleColBandSize w:val="1"/>
      <w:tblCellMar>
        <w:left w:w="108" w:type="dxa"/>
        <w:right w:w="108" w:type="dxa"/>
      </w:tblCellMar>
    </w:tblPr>
  </w:style>
  <w:style w:type="table" w:customStyle="1" w:styleId="a9">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1932-12"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zakon.rada.gov.ua/laws/show/2210-14" TargetMode="External"/><Relationship Id="rId4" Type="http://schemas.openxmlformats.org/officeDocument/2006/relationships/settings" Target="settings.xml"/><Relationship Id="rId9" Type="http://schemas.openxmlformats.org/officeDocument/2006/relationships/hyperlink" Target="https://zakon.rada.gov.ua/laws/show/2145-19"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PTCGcJMYmZsnTuTBm3ZmStj9qjg==">AMUW2mW1MDUBeHdHmp6a8xWTF3S1KdEEmztbuWyhUBw3L1tacTczhLFvK2Dajj/JZAQ4lPWg+nxmB11umZoCL91guAd5nqSiE6HH3ObWslENojZOrydpSe87JOZcegHvaTOTfUIqVuN5</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10</Pages>
  <Words>9138</Words>
  <Characters>5209</Characters>
  <Application>Microsoft Office Word</Application>
  <DocSecurity>0</DocSecurity>
  <Lines>43</Lines>
  <Paragraphs>28</Paragraphs>
  <ScaleCrop>false</ScaleCrop>
  <Company/>
  <LinksUpToDate>false</LinksUpToDate>
  <CharactersWithSpaces>14319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Kostya</dc:creator>
  <cp:lastModifiedBy>Кліменко Андрій Лукич</cp:lastModifiedBy>
  <cp:revision>5</cp:revision>
  <dcterms:created xsi:type="dcterms:W3CDTF">2021-07-15T07:28:00Z</dcterms:created>
  <dcterms:modified xsi:type="dcterms:W3CDTF">2021-07-21T11:50:00Z</dcterms:modified>
</cp:coreProperties>
</file>